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BACC" w14:textId="77777777" w:rsidR="006E2466" w:rsidRDefault="00000000">
      <w:pPr>
        <w:spacing w:line="276" w:lineRule="auto"/>
        <w:ind w:left="1" w:hanging="3"/>
        <w:jc w:val="center"/>
        <w:rPr>
          <w:rFonts w:ascii="Arial" w:eastAsia="Arial" w:hAnsi="Arial" w:cs="Arial"/>
          <w:sz w:val="28"/>
          <w:szCs w:val="28"/>
        </w:rPr>
      </w:pPr>
      <w:r>
        <w:rPr>
          <w:rFonts w:ascii="Arial" w:eastAsia="Arial" w:hAnsi="Arial" w:cs="Arial"/>
          <w:b/>
          <w:smallCaps/>
          <w:sz w:val="28"/>
          <w:szCs w:val="28"/>
        </w:rPr>
        <w:t>WYOMING IMMUNIZATION CONFERENCE</w:t>
      </w:r>
    </w:p>
    <w:p w14:paraId="06C1FA22" w14:textId="77777777" w:rsidR="006E2466" w:rsidRDefault="00000000">
      <w:pPr>
        <w:spacing w:line="276" w:lineRule="auto"/>
        <w:ind w:left="1" w:hanging="3"/>
        <w:jc w:val="center"/>
        <w:rPr>
          <w:rFonts w:ascii="Arial" w:eastAsia="Arial" w:hAnsi="Arial" w:cs="Arial"/>
          <w:b/>
          <w:smallCaps/>
          <w:sz w:val="28"/>
          <w:szCs w:val="28"/>
        </w:rPr>
      </w:pPr>
      <w:r>
        <w:rPr>
          <w:rFonts w:ascii="Arial" w:eastAsia="Arial" w:hAnsi="Arial" w:cs="Arial"/>
          <w:b/>
          <w:smallCaps/>
          <w:sz w:val="28"/>
          <w:szCs w:val="28"/>
        </w:rPr>
        <w:t>CM4932</w:t>
      </w:r>
    </w:p>
    <w:p w14:paraId="5AA58B8B" w14:textId="77777777" w:rsidR="006E2466" w:rsidRDefault="00000000">
      <w:pPr>
        <w:spacing w:line="276" w:lineRule="auto"/>
        <w:ind w:left="1" w:hanging="3"/>
        <w:jc w:val="center"/>
        <w:rPr>
          <w:rFonts w:ascii="Arial" w:eastAsia="Arial" w:hAnsi="Arial" w:cs="Arial"/>
          <w:sz w:val="28"/>
          <w:szCs w:val="28"/>
        </w:rPr>
      </w:pPr>
      <w:r>
        <w:rPr>
          <w:rFonts w:ascii="Arial" w:eastAsia="Arial" w:hAnsi="Arial" w:cs="Arial"/>
          <w:b/>
          <w:smallCaps/>
          <w:sz w:val="28"/>
          <w:szCs w:val="28"/>
        </w:rPr>
        <w:t>June 18 to June 19, 2025</w:t>
      </w:r>
    </w:p>
    <w:p w14:paraId="1BE73F3F" w14:textId="77777777" w:rsidR="006E2466" w:rsidRDefault="006E2466">
      <w:pPr>
        <w:spacing w:line="276" w:lineRule="auto"/>
        <w:ind w:left="1" w:hanging="3"/>
        <w:jc w:val="center"/>
        <w:rPr>
          <w:rFonts w:ascii="Arial" w:eastAsia="Arial" w:hAnsi="Arial" w:cs="Arial"/>
          <w:sz w:val="28"/>
          <w:szCs w:val="28"/>
        </w:rPr>
      </w:pPr>
    </w:p>
    <w:p w14:paraId="11720F02" w14:textId="77777777" w:rsidR="006E2466" w:rsidRDefault="00000000">
      <w:pPr>
        <w:spacing w:line="276" w:lineRule="auto"/>
        <w:ind w:left="1" w:hanging="3"/>
        <w:rPr>
          <w:rFonts w:ascii="Arial" w:eastAsia="Arial" w:hAnsi="Arial" w:cs="Arial"/>
          <w:b/>
          <w:color w:val="000000"/>
          <w:sz w:val="28"/>
          <w:szCs w:val="28"/>
        </w:rPr>
      </w:pPr>
      <w:r>
        <w:rPr>
          <w:rFonts w:ascii="Arial" w:eastAsia="Arial" w:hAnsi="Arial" w:cs="Arial"/>
          <w:b/>
          <w:color w:val="000000"/>
          <w:sz w:val="28"/>
          <w:szCs w:val="28"/>
        </w:rPr>
        <w:t>AGENDA</w:t>
      </w:r>
    </w:p>
    <w:p w14:paraId="5FB67F44" w14:textId="77777777" w:rsidR="006E2466" w:rsidRDefault="006E2466">
      <w:pPr>
        <w:spacing w:line="276" w:lineRule="auto"/>
        <w:ind w:left="1" w:hanging="3"/>
        <w:rPr>
          <w:rFonts w:ascii="Arial" w:eastAsia="Arial" w:hAnsi="Arial" w:cs="Arial"/>
          <w:b/>
          <w:sz w:val="28"/>
          <w:szCs w:val="28"/>
        </w:rPr>
      </w:pPr>
    </w:p>
    <w:tbl>
      <w:tblPr>
        <w:tblStyle w:val="a5"/>
        <w:tblW w:w="1002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7200"/>
      </w:tblGrid>
      <w:tr w:rsidR="006E2466" w14:paraId="0136FD1A" w14:textId="77777777">
        <w:trPr>
          <w:trHeight w:val="480"/>
        </w:trPr>
        <w:tc>
          <w:tcPr>
            <w:tcW w:w="10020" w:type="dxa"/>
            <w:gridSpan w:val="2"/>
            <w:shd w:val="clear" w:color="auto" w:fill="auto"/>
            <w:tcMar>
              <w:top w:w="100" w:type="dxa"/>
              <w:left w:w="100" w:type="dxa"/>
              <w:bottom w:w="100" w:type="dxa"/>
              <w:right w:w="100" w:type="dxa"/>
            </w:tcMar>
          </w:tcPr>
          <w:p w14:paraId="773D2EBD" w14:textId="77777777" w:rsidR="006E2466" w:rsidRDefault="00000000">
            <w:pPr>
              <w:widowControl w:val="0"/>
              <w:ind w:left="0" w:hanging="2"/>
              <w:rPr>
                <w:rFonts w:ascii="Arial" w:eastAsia="Arial" w:hAnsi="Arial" w:cs="Arial"/>
                <w:b/>
                <w:sz w:val="22"/>
                <w:szCs w:val="22"/>
              </w:rPr>
            </w:pPr>
            <w:r>
              <w:rPr>
                <w:rFonts w:ascii="Arial" w:eastAsia="Arial" w:hAnsi="Arial" w:cs="Arial"/>
                <w:b/>
                <w:sz w:val="22"/>
                <w:szCs w:val="22"/>
              </w:rPr>
              <w:t>Day 1 - June 18th, 2025</w:t>
            </w:r>
          </w:p>
        </w:tc>
      </w:tr>
      <w:tr w:rsidR="006E2466" w14:paraId="5C13BF54" w14:textId="77777777">
        <w:tc>
          <w:tcPr>
            <w:tcW w:w="2820" w:type="dxa"/>
            <w:shd w:val="clear" w:color="auto" w:fill="auto"/>
            <w:tcMar>
              <w:top w:w="100" w:type="dxa"/>
              <w:left w:w="100" w:type="dxa"/>
              <w:bottom w:w="100" w:type="dxa"/>
              <w:right w:w="100" w:type="dxa"/>
            </w:tcMar>
          </w:tcPr>
          <w:p w14:paraId="35988C69" w14:textId="77777777" w:rsidR="006E2466" w:rsidRDefault="00000000">
            <w:pPr>
              <w:widowControl w:val="0"/>
              <w:ind w:left="0" w:hanging="2"/>
              <w:rPr>
                <w:rFonts w:ascii="Arial" w:eastAsia="Arial" w:hAnsi="Arial" w:cs="Arial"/>
                <w:b/>
                <w:sz w:val="22"/>
                <w:szCs w:val="22"/>
              </w:rPr>
            </w:pPr>
            <w:r>
              <w:rPr>
                <w:rFonts w:ascii="Arial" w:eastAsia="Arial" w:hAnsi="Arial" w:cs="Arial"/>
                <w:b/>
                <w:sz w:val="22"/>
                <w:szCs w:val="22"/>
              </w:rPr>
              <w:t>9:30 am to 10:30 am</w:t>
            </w:r>
          </w:p>
        </w:tc>
        <w:tc>
          <w:tcPr>
            <w:tcW w:w="7200" w:type="dxa"/>
            <w:shd w:val="clear" w:color="auto" w:fill="auto"/>
            <w:tcMar>
              <w:top w:w="100" w:type="dxa"/>
              <w:left w:w="100" w:type="dxa"/>
              <w:bottom w:w="100" w:type="dxa"/>
              <w:right w:w="100" w:type="dxa"/>
            </w:tcMar>
          </w:tcPr>
          <w:p w14:paraId="384F7A4D"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Plenary session 1: We Are </w:t>
            </w:r>
            <w:proofErr w:type="gramStart"/>
            <w:r>
              <w:rPr>
                <w:rFonts w:ascii="Arial" w:eastAsia="Arial" w:hAnsi="Arial" w:cs="Arial"/>
                <w:b/>
                <w:sz w:val="22"/>
                <w:szCs w:val="22"/>
              </w:rPr>
              <w:t>In</w:t>
            </w:r>
            <w:proofErr w:type="gramEnd"/>
            <w:r>
              <w:rPr>
                <w:rFonts w:ascii="Arial" w:eastAsia="Arial" w:hAnsi="Arial" w:cs="Arial"/>
                <w:b/>
                <w:sz w:val="22"/>
                <w:szCs w:val="22"/>
              </w:rPr>
              <w:t xml:space="preserve"> This Together for the Long Haul - </w:t>
            </w:r>
            <w:r>
              <w:rPr>
                <w:rFonts w:ascii="Arial" w:eastAsia="Arial" w:hAnsi="Arial" w:cs="Arial"/>
                <w:i/>
                <w:sz w:val="22"/>
                <w:szCs w:val="22"/>
              </w:rPr>
              <w:t>Jay Middleton, Vice President of ReStore Operations, Habitat for Humanity</w:t>
            </w:r>
          </w:p>
        </w:tc>
      </w:tr>
      <w:tr w:rsidR="006E2466" w14:paraId="45E6126A" w14:textId="77777777">
        <w:tc>
          <w:tcPr>
            <w:tcW w:w="2820" w:type="dxa"/>
            <w:shd w:val="clear" w:color="auto" w:fill="auto"/>
            <w:tcMar>
              <w:top w:w="100" w:type="dxa"/>
              <w:left w:w="100" w:type="dxa"/>
              <w:bottom w:w="100" w:type="dxa"/>
              <w:right w:w="100" w:type="dxa"/>
            </w:tcMar>
          </w:tcPr>
          <w:p w14:paraId="7C9FCDCE" w14:textId="77777777" w:rsidR="006E2466" w:rsidRDefault="00000000">
            <w:pPr>
              <w:widowControl w:val="0"/>
              <w:ind w:left="0" w:hanging="2"/>
              <w:rPr>
                <w:rFonts w:ascii="Arial" w:eastAsia="Arial" w:hAnsi="Arial" w:cs="Arial"/>
                <w:b/>
                <w:sz w:val="22"/>
                <w:szCs w:val="22"/>
              </w:rPr>
            </w:pPr>
            <w:r>
              <w:rPr>
                <w:rFonts w:ascii="Arial" w:eastAsia="Arial" w:hAnsi="Arial" w:cs="Arial"/>
                <w:b/>
                <w:sz w:val="22"/>
                <w:szCs w:val="22"/>
              </w:rPr>
              <w:t>1:00 pm to 2:00 pm</w:t>
            </w:r>
          </w:p>
        </w:tc>
        <w:tc>
          <w:tcPr>
            <w:tcW w:w="7200" w:type="dxa"/>
            <w:shd w:val="clear" w:color="auto" w:fill="auto"/>
            <w:tcMar>
              <w:top w:w="100" w:type="dxa"/>
              <w:left w:w="100" w:type="dxa"/>
              <w:bottom w:w="100" w:type="dxa"/>
              <w:right w:w="100" w:type="dxa"/>
            </w:tcMar>
          </w:tcPr>
          <w:p w14:paraId="19A7654E"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1: Childhood Vaccine Hesitancy Among Wyoming Medicaid Parents &amp; Guardians - </w:t>
            </w:r>
            <w:r>
              <w:rPr>
                <w:rFonts w:ascii="Arial" w:eastAsia="Arial" w:hAnsi="Arial" w:cs="Arial"/>
                <w:i/>
                <w:sz w:val="22"/>
                <w:szCs w:val="22"/>
              </w:rPr>
              <w:t>Paul Johnson, MD, MPH,</w:t>
            </w:r>
            <w:r>
              <w:rPr>
                <w:rFonts w:ascii="Calibri" w:eastAsia="Calibri" w:hAnsi="Calibri" w:cs="Calibri"/>
              </w:rPr>
              <w:t xml:space="preserve"> </w:t>
            </w:r>
            <w:r>
              <w:rPr>
                <w:rFonts w:ascii="Arial" w:eastAsia="Arial" w:hAnsi="Arial" w:cs="Arial"/>
                <w:i/>
                <w:sz w:val="22"/>
                <w:szCs w:val="22"/>
              </w:rPr>
              <w:t>Medicaid Medical Director, Wyoming Department of Heath</w:t>
            </w:r>
          </w:p>
        </w:tc>
      </w:tr>
      <w:tr w:rsidR="006E2466" w14:paraId="71D41D2C" w14:textId="77777777">
        <w:tc>
          <w:tcPr>
            <w:tcW w:w="2820" w:type="dxa"/>
            <w:shd w:val="clear" w:color="auto" w:fill="auto"/>
            <w:tcMar>
              <w:top w:w="100" w:type="dxa"/>
              <w:left w:w="100" w:type="dxa"/>
              <w:bottom w:w="100" w:type="dxa"/>
              <w:right w:w="100" w:type="dxa"/>
            </w:tcMar>
          </w:tcPr>
          <w:p w14:paraId="265D4560" w14:textId="77777777" w:rsidR="006E2466" w:rsidRDefault="006E2466">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633B37AF"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Breakout session 1: Leaving on a Jet Plane: Protecting Your Patients When They Travel -</w:t>
            </w:r>
            <w:r>
              <w:rPr>
                <w:rFonts w:ascii="Arial" w:eastAsia="Arial" w:hAnsi="Arial" w:cs="Arial"/>
                <w:sz w:val="22"/>
                <w:szCs w:val="22"/>
              </w:rPr>
              <w:t xml:space="preserve"> </w:t>
            </w:r>
            <w:r>
              <w:rPr>
                <w:rFonts w:ascii="Arial" w:eastAsia="Arial" w:hAnsi="Arial" w:cs="Arial"/>
                <w:i/>
                <w:sz w:val="22"/>
                <w:szCs w:val="22"/>
              </w:rPr>
              <w:t>Heidi Gurov,</w:t>
            </w:r>
            <w:r>
              <w:rPr>
                <w:rFonts w:ascii="Arial" w:eastAsia="Arial" w:hAnsi="Arial" w:cs="Arial"/>
                <w:b/>
                <w:i/>
                <w:sz w:val="22"/>
                <w:szCs w:val="22"/>
              </w:rPr>
              <w:t xml:space="preserve"> </w:t>
            </w:r>
            <w:r>
              <w:rPr>
                <w:rFonts w:ascii="Calibri" w:eastAsia="Calibri" w:hAnsi="Calibri" w:cs="Calibri"/>
                <w:i/>
              </w:rPr>
              <w:t>RN, BSN, BS, CMSRN, Nurse Consultant, Wyoming Department of Health</w:t>
            </w:r>
          </w:p>
        </w:tc>
      </w:tr>
      <w:tr w:rsidR="006E2466" w14:paraId="1DAEEB90" w14:textId="77777777">
        <w:tc>
          <w:tcPr>
            <w:tcW w:w="2820" w:type="dxa"/>
            <w:shd w:val="clear" w:color="auto" w:fill="auto"/>
            <w:tcMar>
              <w:top w:w="100" w:type="dxa"/>
              <w:left w:w="100" w:type="dxa"/>
              <w:bottom w:w="100" w:type="dxa"/>
              <w:right w:w="100" w:type="dxa"/>
            </w:tcMar>
          </w:tcPr>
          <w:p w14:paraId="717010B3" w14:textId="77777777" w:rsidR="006E2466" w:rsidRDefault="006E2466">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733D9CA2"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1: Shot of Prevention: Boosting Immunization Rates Through Pharmacist-Led Initiatives - </w:t>
            </w:r>
            <w:r>
              <w:rPr>
                <w:rFonts w:ascii="Arial" w:eastAsia="Arial" w:hAnsi="Arial" w:cs="Arial"/>
                <w:i/>
                <w:sz w:val="22"/>
                <w:szCs w:val="22"/>
              </w:rPr>
              <w:t xml:space="preserve">Melinda Carroll, </w:t>
            </w:r>
            <w:r>
              <w:rPr>
                <w:rFonts w:ascii="Calibri" w:eastAsia="Calibri" w:hAnsi="Calibri" w:cs="Calibri"/>
                <w:i/>
              </w:rPr>
              <w:t>PharmD, RPh, Pharmacist/Pharmacy Manager, King Sooper’s Pharmacy</w:t>
            </w:r>
          </w:p>
        </w:tc>
      </w:tr>
      <w:tr w:rsidR="006E2466" w14:paraId="397C007D" w14:textId="77777777">
        <w:tc>
          <w:tcPr>
            <w:tcW w:w="2820" w:type="dxa"/>
            <w:shd w:val="clear" w:color="auto" w:fill="auto"/>
            <w:tcMar>
              <w:top w:w="100" w:type="dxa"/>
              <w:left w:w="100" w:type="dxa"/>
              <w:bottom w:w="100" w:type="dxa"/>
              <w:right w:w="100" w:type="dxa"/>
            </w:tcMar>
          </w:tcPr>
          <w:p w14:paraId="5A8FBEC4" w14:textId="77777777" w:rsidR="006E2466" w:rsidRDefault="00000000">
            <w:pPr>
              <w:widowControl w:val="0"/>
              <w:ind w:left="0" w:hanging="2"/>
              <w:rPr>
                <w:rFonts w:ascii="Arial" w:eastAsia="Arial" w:hAnsi="Arial" w:cs="Arial"/>
                <w:b/>
                <w:sz w:val="22"/>
                <w:szCs w:val="22"/>
              </w:rPr>
            </w:pPr>
            <w:r>
              <w:rPr>
                <w:rFonts w:ascii="Arial" w:eastAsia="Arial" w:hAnsi="Arial" w:cs="Arial"/>
                <w:b/>
                <w:sz w:val="22"/>
                <w:szCs w:val="22"/>
              </w:rPr>
              <w:t>2:15 pm to 3:15 pm</w:t>
            </w:r>
          </w:p>
        </w:tc>
        <w:tc>
          <w:tcPr>
            <w:tcW w:w="7200" w:type="dxa"/>
            <w:shd w:val="clear" w:color="auto" w:fill="auto"/>
            <w:tcMar>
              <w:top w:w="100" w:type="dxa"/>
              <w:left w:w="100" w:type="dxa"/>
              <w:bottom w:w="100" w:type="dxa"/>
              <w:right w:w="100" w:type="dxa"/>
            </w:tcMar>
          </w:tcPr>
          <w:p w14:paraId="57963BAB"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2: An Introduction to WyIR Reports - </w:t>
            </w:r>
            <w:r>
              <w:rPr>
                <w:rFonts w:ascii="Arial" w:eastAsia="Arial" w:hAnsi="Arial" w:cs="Arial"/>
                <w:i/>
                <w:sz w:val="22"/>
                <w:szCs w:val="22"/>
              </w:rPr>
              <w:t xml:space="preserve">John Taylor, MBA, </w:t>
            </w:r>
            <w:r>
              <w:rPr>
                <w:rFonts w:ascii="Calibri" w:eastAsia="Calibri" w:hAnsi="Calibri" w:cs="Calibri"/>
                <w:i/>
              </w:rPr>
              <w:t>Client Management Specialist, Wyoming Department of Health</w:t>
            </w:r>
            <w:r>
              <w:rPr>
                <w:rFonts w:ascii="Arial" w:eastAsia="Arial" w:hAnsi="Arial" w:cs="Arial"/>
                <w:i/>
                <w:sz w:val="22"/>
                <w:szCs w:val="22"/>
              </w:rPr>
              <w:t xml:space="preserve"> &amp; Stephanie Lewis, Immunization Information System Manager, Wyoming Department of Health</w:t>
            </w:r>
          </w:p>
        </w:tc>
      </w:tr>
      <w:tr w:rsidR="006E2466" w14:paraId="59F55812" w14:textId="77777777">
        <w:tc>
          <w:tcPr>
            <w:tcW w:w="2820" w:type="dxa"/>
            <w:shd w:val="clear" w:color="auto" w:fill="auto"/>
            <w:tcMar>
              <w:top w:w="100" w:type="dxa"/>
              <w:left w:w="100" w:type="dxa"/>
              <w:bottom w:w="100" w:type="dxa"/>
              <w:right w:w="100" w:type="dxa"/>
            </w:tcMar>
          </w:tcPr>
          <w:p w14:paraId="652B8E6E" w14:textId="77777777" w:rsidR="006E2466" w:rsidRDefault="006E2466">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5303F5B1"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2: The ABCs of Vaccines Part 1: DTaP, PCV, Hib, and IPV - </w:t>
            </w:r>
            <w:r>
              <w:rPr>
                <w:rFonts w:ascii="Arial" w:eastAsia="Arial" w:hAnsi="Arial" w:cs="Arial"/>
                <w:i/>
                <w:sz w:val="22"/>
                <w:szCs w:val="22"/>
              </w:rPr>
              <w:t>Heidi Gurov,</w:t>
            </w:r>
            <w:r>
              <w:rPr>
                <w:rFonts w:ascii="Arial" w:eastAsia="Arial" w:hAnsi="Arial" w:cs="Arial"/>
                <w:b/>
                <w:i/>
                <w:sz w:val="22"/>
                <w:szCs w:val="22"/>
              </w:rPr>
              <w:t xml:space="preserve"> </w:t>
            </w:r>
            <w:r>
              <w:rPr>
                <w:rFonts w:ascii="Calibri" w:eastAsia="Calibri" w:hAnsi="Calibri" w:cs="Calibri"/>
                <w:i/>
              </w:rPr>
              <w:t>RN, BSN, BS, CMSRN, Nurse Consultant, Wyoming Department of Health</w:t>
            </w:r>
          </w:p>
        </w:tc>
      </w:tr>
      <w:tr w:rsidR="006E2466" w14:paraId="7D7658C4" w14:textId="77777777">
        <w:tc>
          <w:tcPr>
            <w:tcW w:w="2820" w:type="dxa"/>
            <w:shd w:val="clear" w:color="auto" w:fill="auto"/>
            <w:tcMar>
              <w:top w:w="100" w:type="dxa"/>
              <w:left w:w="100" w:type="dxa"/>
              <w:bottom w:w="100" w:type="dxa"/>
              <w:right w:w="100" w:type="dxa"/>
            </w:tcMar>
          </w:tcPr>
          <w:p w14:paraId="3440A366" w14:textId="77777777" w:rsidR="006E2466" w:rsidRDefault="006E2466">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2EC9595F"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2: Storing Vaccines with Confidence: Best Practices for Vaccine Storage and Handling - </w:t>
            </w:r>
            <w:r>
              <w:rPr>
                <w:rFonts w:ascii="Arial" w:eastAsia="Arial" w:hAnsi="Arial" w:cs="Arial"/>
                <w:i/>
                <w:sz w:val="22"/>
                <w:szCs w:val="22"/>
              </w:rPr>
              <w:t xml:space="preserve">Cody Loveland, MPH, </w:t>
            </w:r>
            <w:r>
              <w:rPr>
                <w:rFonts w:ascii="Calibri" w:eastAsia="Calibri" w:hAnsi="Calibri" w:cs="Calibri"/>
                <w:i/>
              </w:rPr>
              <w:t>Public Vaccine Program Manager, Wyoming Department of Health</w:t>
            </w:r>
          </w:p>
        </w:tc>
      </w:tr>
      <w:tr w:rsidR="006E2466" w14:paraId="4EA1B1D0" w14:textId="77777777">
        <w:tc>
          <w:tcPr>
            <w:tcW w:w="2820" w:type="dxa"/>
            <w:shd w:val="clear" w:color="auto" w:fill="auto"/>
            <w:tcMar>
              <w:top w:w="100" w:type="dxa"/>
              <w:left w:w="100" w:type="dxa"/>
              <w:bottom w:w="100" w:type="dxa"/>
              <w:right w:w="100" w:type="dxa"/>
            </w:tcMar>
          </w:tcPr>
          <w:p w14:paraId="40384D71" w14:textId="77777777" w:rsidR="006E2466" w:rsidRDefault="00000000">
            <w:pPr>
              <w:widowControl w:val="0"/>
              <w:ind w:left="0" w:hanging="2"/>
              <w:rPr>
                <w:rFonts w:ascii="Arial" w:eastAsia="Arial" w:hAnsi="Arial" w:cs="Arial"/>
                <w:b/>
                <w:sz w:val="22"/>
                <w:szCs w:val="22"/>
              </w:rPr>
            </w:pPr>
            <w:r>
              <w:rPr>
                <w:rFonts w:ascii="Arial" w:eastAsia="Arial" w:hAnsi="Arial" w:cs="Arial"/>
                <w:b/>
                <w:sz w:val="22"/>
                <w:szCs w:val="22"/>
              </w:rPr>
              <w:t>3:30 pm to 4:30 pm</w:t>
            </w:r>
          </w:p>
        </w:tc>
        <w:tc>
          <w:tcPr>
            <w:tcW w:w="7200" w:type="dxa"/>
            <w:shd w:val="clear" w:color="auto" w:fill="auto"/>
            <w:tcMar>
              <w:top w:w="100" w:type="dxa"/>
              <w:left w:w="100" w:type="dxa"/>
              <w:bottom w:w="100" w:type="dxa"/>
              <w:right w:w="100" w:type="dxa"/>
            </w:tcMar>
          </w:tcPr>
          <w:p w14:paraId="4AFFB3CE"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3: Public Vaccine Programs: PVP 101 - </w:t>
            </w:r>
            <w:r>
              <w:rPr>
                <w:rFonts w:ascii="Arial" w:eastAsia="Arial" w:hAnsi="Arial" w:cs="Arial"/>
                <w:i/>
                <w:sz w:val="22"/>
                <w:szCs w:val="22"/>
              </w:rPr>
              <w:t>Sierra Gonzales-Salinas, Provider Support Specialist, Wyoming Department of Health</w:t>
            </w:r>
          </w:p>
        </w:tc>
      </w:tr>
      <w:tr w:rsidR="006E2466" w14:paraId="72862C77" w14:textId="77777777">
        <w:tc>
          <w:tcPr>
            <w:tcW w:w="2820" w:type="dxa"/>
            <w:shd w:val="clear" w:color="auto" w:fill="auto"/>
            <w:tcMar>
              <w:top w:w="100" w:type="dxa"/>
              <w:left w:w="100" w:type="dxa"/>
              <w:bottom w:w="100" w:type="dxa"/>
              <w:right w:w="100" w:type="dxa"/>
            </w:tcMar>
          </w:tcPr>
          <w:p w14:paraId="2C2F5972" w14:textId="77777777" w:rsidR="006E2466" w:rsidRDefault="006E2466">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2F873EEF"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3: Adult Vaccine Updates: An Overview of Disease, Epidemiology, and Vaccines - </w:t>
            </w:r>
            <w:r>
              <w:rPr>
                <w:rFonts w:ascii="Arial" w:eastAsia="Arial" w:hAnsi="Arial" w:cs="Arial"/>
                <w:i/>
                <w:sz w:val="22"/>
                <w:szCs w:val="22"/>
              </w:rPr>
              <w:t xml:space="preserve">Jason </w:t>
            </w:r>
            <w:proofErr w:type="spellStart"/>
            <w:r>
              <w:rPr>
                <w:rFonts w:ascii="Arial" w:eastAsia="Arial" w:hAnsi="Arial" w:cs="Arial"/>
                <w:i/>
                <w:sz w:val="22"/>
                <w:szCs w:val="22"/>
              </w:rPr>
              <w:t>McCanless</w:t>
            </w:r>
            <w:proofErr w:type="spellEnd"/>
            <w:r>
              <w:rPr>
                <w:rFonts w:ascii="Arial" w:eastAsia="Arial" w:hAnsi="Arial" w:cs="Arial"/>
                <w:i/>
                <w:sz w:val="22"/>
                <w:szCs w:val="22"/>
              </w:rPr>
              <w:t>, PharmD, Independent</w:t>
            </w:r>
          </w:p>
        </w:tc>
      </w:tr>
      <w:tr w:rsidR="006E2466" w14:paraId="4443334F" w14:textId="77777777">
        <w:trPr>
          <w:trHeight w:val="447"/>
        </w:trPr>
        <w:tc>
          <w:tcPr>
            <w:tcW w:w="2820" w:type="dxa"/>
            <w:shd w:val="clear" w:color="auto" w:fill="auto"/>
            <w:tcMar>
              <w:top w:w="100" w:type="dxa"/>
              <w:left w:w="100" w:type="dxa"/>
              <w:bottom w:w="100" w:type="dxa"/>
              <w:right w:w="100" w:type="dxa"/>
            </w:tcMar>
          </w:tcPr>
          <w:p w14:paraId="2064C2AD" w14:textId="77777777" w:rsidR="006E2466" w:rsidRDefault="006E2466">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548D1A9F"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3: WyIR 101 - </w:t>
            </w:r>
            <w:r>
              <w:rPr>
                <w:rFonts w:ascii="Arial" w:eastAsia="Arial" w:hAnsi="Arial" w:cs="Arial"/>
                <w:i/>
                <w:sz w:val="22"/>
                <w:szCs w:val="22"/>
              </w:rPr>
              <w:t xml:space="preserve">John Taylor, MBA, </w:t>
            </w:r>
            <w:r>
              <w:rPr>
                <w:rFonts w:ascii="Calibri" w:eastAsia="Calibri" w:hAnsi="Calibri" w:cs="Calibri"/>
                <w:i/>
              </w:rPr>
              <w:t xml:space="preserve">Client </w:t>
            </w:r>
            <w:r>
              <w:rPr>
                <w:rFonts w:ascii="Calibri" w:eastAsia="Calibri" w:hAnsi="Calibri" w:cs="Calibri"/>
                <w:i/>
              </w:rPr>
              <w:lastRenderedPageBreak/>
              <w:t>Management Specialist, Wyoming Department of Health</w:t>
            </w:r>
            <w:r>
              <w:rPr>
                <w:rFonts w:ascii="Arial" w:eastAsia="Arial" w:hAnsi="Arial" w:cs="Arial"/>
                <w:i/>
                <w:sz w:val="22"/>
                <w:szCs w:val="22"/>
              </w:rPr>
              <w:t xml:space="preserve"> &amp; Stephanie Lewis, Immunization Information System Manager, Wyoming Department of Health</w:t>
            </w:r>
          </w:p>
        </w:tc>
      </w:tr>
    </w:tbl>
    <w:p w14:paraId="6114269A" w14:textId="77777777" w:rsidR="006E2466" w:rsidRDefault="006E2466">
      <w:pPr>
        <w:spacing w:line="276" w:lineRule="auto"/>
        <w:ind w:left="0" w:hanging="2"/>
        <w:rPr>
          <w:rFonts w:ascii="Arial" w:eastAsia="Arial" w:hAnsi="Arial" w:cs="Arial"/>
          <w:b/>
          <w:sz w:val="22"/>
          <w:szCs w:val="22"/>
        </w:rPr>
      </w:pPr>
    </w:p>
    <w:tbl>
      <w:tblPr>
        <w:tblStyle w:val="a6"/>
        <w:tblW w:w="100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7620"/>
      </w:tblGrid>
      <w:tr w:rsidR="006E2466" w14:paraId="43818EF0" w14:textId="77777777">
        <w:trPr>
          <w:trHeight w:val="480"/>
        </w:trPr>
        <w:tc>
          <w:tcPr>
            <w:tcW w:w="10020" w:type="dxa"/>
            <w:gridSpan w:val="2"/>
            <w:shd w:val="clear" w:color="auto" w:fill="auto"/>
            <w:tcMar>
              <w:top w:w="100" w:type="dxa"/>
              <w:left w:w="100" w:type="dxa"/>
              <w:bottom w:w="100" w:type="dxa"/>
              <w:right w:w="100" w:type="dxa"/>
            </w:tcMar>
          </w:tcPr>
          <w:p w14:paraId="5D19D808" w14:textId="77777777" w:rsidR="006E2466" w:rsidRDefault="00000000">
            <w:pPr>
              <w:widowControl w:val="0"/>
              <w:ind w:left="0" w:hanging="2"/>
              <w:rPr>
                <w:rFonts w:ascii="Arial" w:eastAsia="Arial" w:hAnsi="Arial" w:cs="Arial"/>
                <w:b/>
                <w:sz w:val="22"/>
                <w:szCs w:val="22"/>
              </w:rPr>
            </w:pPr>
            <w:r>
              <w:rPr>
                <w:rFonts w:ascii="Arial" w:eastAsia="Arial" w:hAnsi="Arial" w:cs="Arial"/>
                <w:b/>
                <w:sz w:val="22"/>
                <w:szCs w:val="22"/>
              </w:rPr>
              <w:t>Day 2 - June 19th, 2025</w:t>
            </w:r>
          </w:p>
        </w:tc>
      </w:tr>
      <w:tr w:rsidR="006E2466" w14:paraId="7561A6E7" w14:textId="77777777">
        <w:tc>
          <w:tcPr>
            <w:tcW w:w="2400" w:type="dxa"/>
            <w:shd w:val="clear" w:color="auto" w:fill="auto"/>
            <w:tcMar>
              <w:top w:w="100" w:type="dxa"/>
              <w:left w:w="100" w:type="dxa"/>
              <w:bottom w:w="100" w:type="dxa"/>
              <w:right w:w="100" w:type="dxa"/>
            </w:tcMar>
          </w:tcPr>
          <w:p w14:paraId="5C555378" w14:textId="77777777" w:rsidR="006E2466" w:rsidRDefault="00000000">
            <w:pPr>
              <w:widowControl w:val="0"/>
              <w:ind w:left="0" w:hanging="2"/>
              <w:rPr>
                <w:rFonts w:ascii="Arial" w:eastAsia="Arial" w:hAnsi="Arial" w:cs="Arial"/>
                <w:b/>
                <w:sz w:val="22"/>
                <w:szCs w:val="22"/>
              </w:rPr>
            </w:pPr>
            <w:r>
              <w:rPr>
                <w:rFonts w:ascii="Arial" w:eastAsia="Arial" w:hAnsi="Arial" w:cs="Arial"/>
                <w:b/>
                <w:sz w:val="22"/>
                <w:szCs w:val="22"/>
              </w:rPr>
              <w:t>8:30 am to 9:30 am</w:t>
            </w:r>
          </w:p>
        </w:tc>
        <w:tc>
          <w:tcPr>
            <w:tcW w:w="7620" w:type="dxa"/>
            <w:shd w:val="clear" w:color="auto" w:fill="auto"/>
            <w:tcMar>
              <w:top w:w="100" w:type="dxa"/>
              <w:left w:w="100" w:type="dxa"/>
              <w:bottom w:w="100" w:type="dxa"/>
              <w:right w:w="100" w:type="dxa"/>
            </w:tcMar>
          </w:tcPr>
          <w:p w14:paraId="50700AF8"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Plenary session 3: Debunking the Myth: Andrew Wakefield, Vaccine Misinformation, and the Autism Controversy - </w:t>
            </w:r>
            <w:r>
              <w:rPr>
                <w:rFonts w:ascii="Arial" w:eastAsia="Arial" w:hAnsi="Arial" w:cs="Arial"/>
                <w:i/>
                <w:sz w:val="22"/>
                <w:szCs w:val="22"/>
              </w:rPr>
              <w:t xml:space="preserve">Alexia </w:t>
            </w:r>
            <w:proofErr w:type="spellStart"/>
            <w:r>
              <w:rPr>
                <w:rFonts w:ascii="Arial" w:eastAsia="Arial" w:hAnsi="Arial" w:cs="Arial"/>
                <w:i/>
                <w:sz w:val="22"/>
                <w:szCs w:val="22"/>
              </w:rPr>
              <w:t>Harrist</w:t>
            </w:r>
            <w:proofErr w:type="spellEnd"/>
            <w:r>
              <w:rPr>
                <w:rFonts w:ascii="Arial" w:eastAsia="Arial" w:hAnsi="Arial" w:cs="Arial"/>
                <w:i/>
                <w:sz w:val="22"/>
                <w:szCs w:val="22"/>
              </w:rPr>
              <w:t xml:space="preserve">, MD, PhD, </w:t>
            </w:r>
            <w:r>
              <w:rPr>
                <w:rFonts w:ascii="Calibri" w:eastAsia="Calibri" w:hAnsi="Calibri" w:cs="Calibri"/>
                <w:i/>
              </w:rPr>
              <w:t xml:space="preserve">State Health Officer and State Epidemiologist, Wyoming Department </w:t>
            </w:r>
            <w:proofErr w:type="gramStart"/>
            <w:r>
              <w:rPr>
                <w:rFonts w:ascii="Calibri" w:eastAsia="Calibri" w:hAnsi="Calibri" w:cs="Calibri"/>
                <w:i/>
              </w:rPr>
              <w:t>Of</w:t>
            </w:r>
            <w:proofErr w:type="gramEnd"/>
            <w:r>
              <w:rPr>
                <w:rFonts w:ascii="Calibri" w:eastAsia="Calibri" w:hAnsi="Calibri" w:cs="Calibri"/>
                <w:i/>
              </w:rPr>
              <w:t xml:space="preserve"> Heath</w:t>
            </w:r>
          </w:p>
        </w:tc>
      </w:tr>
      <w:tr w:rsidR="006E2466" w14:paraId="0D9823C7" w14:textId="77777777">
        <w:tc>
          <w:tcPr>
            <w:tcW w:w="2400" w:type="dxa"/>
            <w:shd w:val="clear" w:color="auto" w:fill="auto"/>
            <w:tcMar>
              <w:top w:w="100" w:type="dxa"/>
              <w:left w:w="100" w:type="dxa"/>
              <w:bottom w:w="100" w:type="dxa"/>
              <w:right w:w="100" w:type="dxa"/>
            </w:tcMar>
          </w:tcPr>
          <w:p w14:paraId="3E4CF1D1" w14:textId="77777777" w:rsidR="006E2466" w:rsidRDefault="00000000">
            <w:pPr>
              <w:widowControl w:val="0"/>
              <w:ind w:left="0" w:hanging="2"/>
              <w:rPr>
                <w:rFonts w:ascii="Arial" w:eastAsia="Arial" w:hAnsi="Arial" w:cs="Arial"/>
                <w:b/>
                <w:sz w:val="22"/>
                <w:szCs w:val="22"/>
              </w:rPr>
            </w:pPr>
            <w:r>
              <w:rPr>
                <w:rFonts w:ascii="Arial" w:eastAsia="Arial" w:hAnsi="Arial" w:cs="Arial"/>
                <w:b/>
                <w:sz w:val="22"/>
                <w:szCs w:val="22"/>
              </w:rPr>
              <w:t>10:00 am to 11:00 am</w:t>
            </w:r>
          </w:p>
        </w:tc>
        <w:tc>
          <w:tcPr>
            <w:tcW w:w="7620" w:type="dxa"/>
            <w:shd w:val="clear" w:color="auto" w:fill="auto"/>
            <w:tcMar>
              <w:top w:w="100" w:type="dxa"/>
              <w:left w:w="100" w:type="dxa"/>
              <w:bottom w:w="100" w:type="dxa"/>
              <w:right w:w="100" w:type="dxa"/>
            </w:tcMar>
          </w:tcPr>
          <w:p w14:paraId="28E5A92E"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Plenary session 4: How to Turn an Anti-Vaxxer into a Pro-</w:t>
            </w:r>
            <w:proofErr w:type="spellStart"/>
            <w:r>
              <w:rPr>
                <w:rFonts w:ascii="Arial" w:eastAsia="Arial" w:hAnsi="Arial" w:cs="Arial"/>
                <w:b/>
                <w:sz w:val="22"/>
                <w:szCs w:val="22"/>
              </w:rPr>
              <w:t>Vaxxer</w:t>
            </w:r>
            <w:proofErr w:type="spellEnd"/>
            <w:r>
              <w:rPr>
                <w:rFonts w:ascii="Arial" w:eastAsia="Arial" w:hAnsi="Arial" w:cs="Arial"/>
                <w:b/>
                <w:sz w:val="22"/>
                <w:szCs w:val="22"/>
              </w:rPr>
              <w:t xml:space="preserve"> (And Vise Versa) - </w:t>
            </w:r>
            <w:r>
              <w:rPr>
                <w:rFonts w:ascii="Arial" w:eastAsia="Arial" w:hAnsi="Arial" w:cs="Arial"/>
                <w:i/>
                <w:sz w:val="22"/>
                <w:szCs w:val="22"/>
              </w:rPr>
              <w:t xml:space="preserve">Heather Simpson, AS, Vaccine Hesitancy Consultant, </w:t>
            </w:r>
            <w:proofErr w:type="gramStart"/>
            <w:r>
              <w:rPr>
                <w:rFonts w:ascii="Arial" w:eastAsia="Arial" w:hAnsi="Arial" w:cs="Arial"/>
                <w:i/>
                <w:sz w:val="22"/>
                <w:szCs w:val="22"/>
              </w:rPr>
              <w:t>Back</w:t>
            </w:r>
            <w:proofErr w:type="gramEnd"/>
            <w:r>
              <w:rPr>
                <w:rFonts w:ascii="Arial" w:eastAsia="Arial" w:hAnsi="Arial" w:cs="Arial"/>
                <w:i/>
                <w:sz w:val="22"/>
                <w:szCs w:val="22"/>
              </w:rPr>
              <w:t xml:space="preserve"> to the Vax</w:t>
            </w:r>
          </w:p>
        </w:tc>
      </w:tr>
      <w:tr w:rsidR="006E2466" w14:paraId="690805F6" w14:textId="77777777">
        <w:tc>
          <w:tcPr>
            <w:tcW w:w="2400" w:type="dxa"/>
            <w:shd w:val="clear" w:color="auto" w:fill="auto"/>
            <w:tcMar>
              <w:top w:w="100" w:type="dxa"/>
              <w:left w:w="100" w:type="dxa"/>
              <w:bottom w:w="100" w:type="dxa"/>
              <w:right w:w="100" w:type="dxa"/>
            </w:tcMar>
          </w:tcPr>
          <w:p w14:paraId="20A14982" w14:textId="77777777" w:rsidR="006E2466" w:rsidRDefault="00000000">
            <w:pPr>
              <w:widowControl w:val="0"/>
              <w:ind w:left="0" w:hanging="2"/>
              <w:rPr>
                <w:rFonts w:ascii="Arial" w:eastAsia="Arial" w:hAnsi="Arial" w:cs="Arial"/>
                <w:b/>
                <w:sz w:val="22"/>
                <w:szCs w:val="22"/>
              </w:rPr>
            </w:pPr>
            <w:r>
              <w:rPr>
                <w:rFonts w:ascii="Arial" w:eastAsia="Arial" w:hAnsi="Arial" w:cs="Arial"/>
                <w:b/>
                <w:sz w:val="22"/>
                <w:szCs w:val="22"/>
              </w:rPr>
              <w:t>11:30 am to 12:30 pm</w:t>
            </w:r>
          </w:p>
        </w:tc>
        <w:tc>
          <w:tcPr>
            <w:tcW w:w="7620" w:type="dxa"/>
            <w:shd w:val="clear" w:color="auto" w:fill="auto"/>
            <w:tcMar>
              <w:top w:w="100" w:type="dxa"/>
              <w:left w:w="100" w:type="dxa"/>
              <w:bottom w:w="100" w:type="dxa"/>
              <w:right w:w="100" w:type="dxa"/>
            </w:tcMar>
          </w:tcPr>
          <w:p w14:paraId="668DCD40"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Plenary session 5: The Big, Wonderful Immune System: Basics of Immunology and Vaccinology - </w:t>
            </w:r>
            <w:r>
              <w:rPr>
                <w:rFonts w:ascii="Arial" w:eastAsia="Arial" w:hAnsi="Arial" w:cs="Arial"/>
                <w:i/>
                <w:sz w:val="22"/>
                <w:szCs w:val="22"/>
              </w:rPr>
              <w:t>Heidi Gurov,</w:t>
            </w:r>
            <w:r>
              <w:rPr>
                <w:rFonts w:ascii="Arial" w:eastAsia="Arial" w:hAnsi="Arial" w:cs="Arial"/>
                <w:b/>
                <w:i/>
                <w:sz w:val="22"/>
                <w:szCs w:val="22"/>
              </w:rPr>
              <w:t xml:space="preserve"> </w:t>
            </w:r>
            <w:r>
              <w:rPr>
                <w:rFonts w:ascii="Calibri" w:eastAsia="Calibri" w:hAnsi="Calibri" w:cs="Calibri"/>
                <w:i/>
              </w:rPr>
              <w:t>RN, BSN, BS, CMSRN, Nurse Consultant, Wyoming Department of Health</w:t>
            </w:r>
          </w:p>
        </w:tc>
      </w:tr>
      <w:tr w:rsidR="006E2466" w14:paraId="6210518D" w14:textId="77777777">
        <w:tc>
          <w:tcPr>
            <w:tcW w:w="2400" w:type="dxa"/>
            <w:shd w:val="clear" w:color="auto" w:fill="auto"/>
            <w:tcMar>
              <w:top w:w="100" w:type="dxa"/>
              <w:left w:w="100" w:type="dxa"/>
              <w:bottom w:w="100" w:type="dxa"/>
              <w:right w:w="100" w:type="dxa"/>
            </w:tcMar>
          </w:tcPr>
          <w:p w14:paraId="73D995EA" w14:textId="77777777" w:rsidR="006E2466" w:rsidRDefault="00000000">
            <w:pPr>
              <w:widowControl w:val="0"/>
              <w:ind w:left="0" w:hanging="2"/>
              <w:rPr>
                <w:rFonts w:ascii="Arial" w:eastAsia="Arial" w:hAnsi="Arial" w:cs="Arial"/>
                <w:b/>
                <w:sz w:val="22"/>
                <w:szCs w:val="22"/>
              </w:rPr>
            </w:pPr>
            <w:r>
              <w:rPr>
                <w:rFonts w:ascii="Arial" w:eastAsia="Arial" w:hAnsi="Arial" w:cs="Arial"/>
                <w:b/>
                <w:sz w:val="22"/>
                <w:szCs w:val="22"/>
              </w:rPr>
              <w:t>1:30 pm to 2:30 pm</w:t>
            </w:r>
          </w:p>
        </w:tc>
        <w:tc>
          <w:tcPr>
            <w:tcW w:w="7620" w:type="dxa"/>
            <w:shd w:val="clear" w:color="auto" w:fill="auto"/>
            <w:tcMar>
              <w:top w:w="100" w:type="dxa"/>
              <w:left w:w="100" w:type="dxa"/>
              <w:bottom w:w="100" w:type="dxa"/>
              <w:right w:w="100" w:type="dxa"/>
            </w:tcMar>
          </w:tcPr>
          <w:p w14:paraId="7D593341"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4: Connections That Count: From Interface Integration to Error Investigation - </w:t>
            </w:r>
            <w:r>
              <w:rPr>
                <w:rFonts w:ascii="Arial" w:eastAsia="Arial" w:hAnsi="Arial" w:cs="Arial"/>
                <w:i/>
                <w:sz w:val="22"/>
                <w:szCs w:val="22"/>
              </w:rPr>
              <w:t xml:space="preserve">Jonathan Lundquist, </w:t>
            </w:r>
            <w:r>
              <w:rPr>
                <w:rFonts w:ascii="Calibri" w:eastAsia="Calibri" w:hAnsi="Calibri" w:cs="Calibri"/>
                <w:i/>
              </w:rPr>
              <w:t xml:space="preserve">BS, </w:t>
            </w:r>
            <w:r>
              <w:rPr>
                <w:rFonts w:ascii="Arial" w:eastAsia="Arial" w:hAnsi="Arial" w:cs="Arial"/>
                <w:i/>
                <w:sz w:val="22"/>
                <w:szCs w:val="22"/>
              </w:rPr>
              <w:t>IIS Data Quality Coordinator, Wyoming Department of Health &amp; Samantha Robbins, AS, WyIR Interoperability Support Specialist, Wyoming Department of Health</w:t>
            </w:r>
          </w:p>
        </w:tc>
      </w:tr>
      <w:tr w:rsidR="006E2466" w14:paraId="1978880C" w14:textId="77777777">
        <w:tc>
          <w:tcPr>
            <w:tcW w:w="2400" w:type="dxa"/>
            <w:shd w:val="clear" w:color="auto" w:fill="auto"/>
            <w:tcMar>
              <w:top w:w="100" w:type="dxa"/>
              <w:left w:w="100" w:type="dxa"/>
              <w:bottom w:w="100" w:type="dxa"/>
              <w:right w:w="100" w:type="dxa"/>
            </w:tcMar>
          </w:tcPr>
          <w:p w14:paraId="271581B0" w14:textId="77777777" w:rsidR="006E2466" w:rsidRDefault="006E2466">
            <w:pPr>
              <w:widowControl w:val="0"/>
              <w:ind w:left="0" w:hanging="2"/>
              <w:rPr>
                <w:rFonts w:ascii="Arial" w:eastAsia="Arial" w:hAnsi="Arial" w:cs="Arial"/>
                <w:b/>
                <w:sz w:val="22"/>
                <w:szCs w:val="22"/>
              </w:rPr>
            </w:pPr>
          </w:p>
        </w:tc>
        <w:tc>
          <w:tcPr>
            <w:tcW w:w="7620" w:type="dxa"/>
            <w:shd w:val="clear" w:color="auto" w:fill="auto"/>
            <w:tcMar>
              <w:top w:w="100" w:type="dxa"/>
              <w:left w:w="100" w:type="dxa"/>
              <w:bottom w:w="100" w:type="dxa"/>
              <w:right w:w="100" w:type="dxa"/>
            </w:tcMar>
          </w:tcPr>
          <w:p w14:paraId="7F1D1340"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4: Stocking up for Success: Effective Vaccine Inventory Management in the WyIR - </w:t>
            </w:r>
            <w:r>
              <w:rPr>
                <w:rFonts w:ascii="Arial" w:eastAsia="Arial" w:hAnsi="Arial" w:cs="Arial"/>
                <w:i/>
                <w:sz w:val="22"/>
                <w:szCs w:val="22"/>
              </w:rPr>
              <w:t xml:space="preserve">Cody Loveland, MPH, </w:t>
            </w:r>
            <w:r>
              <w:rPr>
                <w:rFonts w:ascii="Calibri" w:eastAsia="Calibri" w:hAnsi="Calibri" w:cs="Calibri"/>
                <w:i/>
              </w:rPr>
              <w:t>Public Vaccine Program Manager, Wyoming Department of Health</w:t>
            </w:r>
          </w:p>
        </w:tc>
      </w:tr>
      <w:tr w:rsidR="006E2466" w14:paraId="365CD7B6" w14:textId="77777777">
        <w:tc>
          <w:tcPr>
            <w:tcW w:w="2400" w:type="dxa"/>
            <w:shd w:val="clear" w:color="auto" w:fill="auto"/>
            <w:tcMar>
              <w:top w:w="100" w:type="dxa"/>
              <w:left w:w="100" w:type="dxa"/>
              <w:bottom w:w="100" w:type="dxa"/>
              <w:right w:w="100" w:type="dxa"/>
            </w:tcMar>
          </w:tcPr>
          <w:p w14:paraId="4007E956" w14:textId="77777777" w:rsidR="006E2466" w:rsidRDefault="006E2466">
            <w:pPr>
              <w:widowControl w:val="0"/>
              <w:ind w:left="0" w:hanging="2"/>
              <w:rPr>
                <w:rFonts w:ascii="Arial" w:eastAsia="Arial" w:hAnsi="Arial" w:cs="Arial"/>
                <w:b/>
                <w:sz w:val="22"/>
                <w:szCs w:val="22"/>
              </w:rPr>
            </w:pPr>
          </w:p>
        </w:tc>
        <w:tc>
          <w:tcPr>
            <w:tcW w:w="7620" w:type="dxa"/>
            <w:shd w:val="clear" w:color="auto" w:fill="auto"/>
            <w:tcMar>
              <w:top w:w="100" w:type="dxa"/>
              <w:left w:w="100" w:type="dxa"/>
              <w:bottom w:w="100" w:type="dxa"/>
              <w:right w:w="100" w:type="dxa"/>
            </w:tcMar>
          </w:tcPr>
          <w:p w14:paraId="0A8F4BD5"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4: The ABCs of Vaccines Part 2: MMR, Varicella, Hep B, and Rotavirus - </w:t>
            </w:r>
            <w:r>
              <w:rPr>
                <w:rFonts w:ascii="Arial" w:eastAsia="Arial" w:hAnsi="Arial" w:cs="Arial"/>
                <w:i/>
                <w:sz w:val="22"/>
                <w:szCs w:val="22"/>
              </w:rPr>
              <w:t>Heidi Gurov,</w:t>
            </w:r>
            <w:r>
              <w:rPr>
                <w:rFonts w:ascii="Arial" w:eastAsia="Arial" w:hAnsi="Arial" w:cs="Arial"/>
                <w:b/>
                <w:i/>
                <w:sz w:val="22"/>
                <w:szCs w:val="22"/>
              </w:rPr>
              <w:t xml:space="preserve"> </w:t>
            </w:r>
            <w:r>
              <w:rPr>
                <w:rFonts w:ascii="Calibri" w:eastAsia="Calibri" w:hAnsi="Calibri" w:cs="Calibri"/>
                <w:i/>
              </w:rPr>
              <w:t>RN, BSN, BS, CMSRN, Nurse Consultant, Wyoming Department of Health</w:t>
            </w:r>
          </w:p>
        </w:tc>
      </w:tr>
      <w:tr w:rsidR="006E2466" w14:paraId="045FF841" w14:textId="77777777">
        <w:tc>
          <w:tcPr>
            <w:tcW w:w="2400" w:type="dxa"/>
            <w:shd w:val="clear" w:color="auto" w:fill="auto"/>
            <w:tcMar>
              <w:top w:w="100" w:type="dxa"/>
              <w:left w:w="100" w:type="dxa"/>
              <w:bottom w:w="100" w:type="dxa"/>
              <w:right w:w="100" w:type="dxa"/>
            </w:tcMar>
          </w:tcPr>
          <w:p w14:paraId="22CC36D6" w14:textId="77777777" w:rsidR="006E2466" w:rsidRDefault="00000000">
            <w:pPr>
              <w:widowControl w:val="0"/>
              <w:ind w:left="0" w:hanging="2"/>
              <w:rPr>
                <w:rFonts w:ascii="Arial" w:eastAsia="Arial" w:hAnsi="Arial" w:cs="Arial"/>
                <w:b/>
                <w:sz w:val="22"/>
                <w:szCs w:val="22"/>
              </w:rPr>
            </w:pPr>
            <w:r>
              <w:rPr>
                <w:rFonts w:ascii="Arial" w:eastAsia="Arial" w:hAnsi="Arial" w:cs="Arial"/>
                <w:b/>
                <w:sz w:val="22"/>
                <w:szCs w:val="22"/>
              </w:rPr>
              <w:t>2:45 pm to 3:45 pm</w:t>
            </w:r>
          </w:p>
        </w:tc>
        <w:tc>
          <w:tcPr>
            <w:tcW w:w="7620" w:type="dxa"/>
            <w:shd w:val="clear" w:color="auto" w:fill="auto"/>
            <w:tcMar>
              <w:top w:w="100" w:type="dxa"/>
              <w:left w:w="100" w:type="dxa"/>
              <w:bottom w:w="100" w:type="dxa"/>
              <w:right w:w="100" w:type="dxa"/>
            </w:tcMar>
          </w:tcPr>
          <w:p w14:paraId="0F6081CB"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5: An Introduction to WyIR Reports - </w:t>
            </w:r>
            <w:r>
              <w:rPr>
                <w:rFonts w:ascii="Arial" w:eastAsia="Arial" w:hAnsi="Arial" w:cs="Arial"/>
                <w:i/>
                <w:sz w:val="22"/>
                <w:szCs w:val="22"/>
              </w:rPr>
              <w:t xml:space="preserve">John Taylor, MBA, </w:t>
            </w:r>
            <w:r>
              <w:rPr>
                <w:rFonts w:ascii="Calibri" w:eastAsia="Calibri" w:hAnsi="Calibri" w:cs="Calibri"/>
                <w:i/>
              </w:rPr>
              <w:t>Client Management Specialist, Wyoming Department of Health</w:t>
            </w:r>
            <w:r>
              <w:rPr>
                <w:rFonts w:ascii="Arial" w:eastAsia="Arial" w:hAnsi="Arial" w:cs="Arial"/>
                <w:i/>
                <w:sz w:val="22"/>
                <w:szCs w:val="22"/>
              </w:rPr>
              <w:t xml:space="preserve"> &amp; Stephanie Lewis, Immunization Information System Manager, Wyoming Department of Health</w:t>
            </w:r>
          </w:p>
        </w:tc>
      </w:tr>
      <w:tr w:rsidR="006E2466" w14:paraId="494815F7" w14:textId="77777777">
        <w:tc>
          <w:tcPr>
            <w:tcW w:w="2400" w:type="dxa"/>
            <w:shd w:val="clear" w:color="auto" w:fill="auto"/>
            <w:tcMar>
              <w:top w:w="100" w:type="dxa"/>
              <w:left w:w="100" w:type="dxa"/>
              <w:bottom w:w="100" w:type="dxa"/>
              <w:right w:w="100" w:type="dxa"/>
            </w:tcMar>
          </w:tcPr>
          <w:p w14:paraId="70C38F3B" w14:textId="77777777" w:rsidR="006E2466" w:rsidRDefault="006E2466">
            <w:pPr>
              <w:widowControl w:val="0"/>
              <w:ind w:left="0" w:hanging="2"/>
              <w:rPr>
                <w:rFonts w:ascii="Arial" w:eastAsia="Arial" w:hAnsi="Arial" w:cs="Arial"/>
                <w:b/>
                <w:sz w:val="22"/>
                <w:szCs w:val="22"/>
              </w:rPr>
            </w:pPr>
          </w:p>
        </w:tc>
        <w:tc>
          <w:tcPr>
            <w:tcW w:w="7620" w:type="dxa"/>
            <w:shd w:val="clear" w:color="auto" w:fill="auto"/>
            <w:tcMar>
              <w:top w:w="100" w:type="dxa"/>
              <w:left w:w="100" w:type="dxa"/>
              <w:bottom w:w="100" w:type="dxa"/>
              <w:right w:w="100" w:type="dxa"/>
            </w:tcMar>
          </w:tcPr>
          <w:p w14:paraId="195ABE6D"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5: Immunization Schedule Basics - </w:t>
            </w:r>
            <w:r>
              <w:rPr>
                <w:rFonts w:ascii="Arial" w:eastAsia="Arial" w:hAnsi="Arial" w:cs="Arial"/>
                <w:i/>
                <w:sz w:val="22"/>
                <w:szCs w:val="22"/>
              </w:rPr>
              <w:t>Heidi Gurov,</w:t>
            </w:r>
            <w:r>
              <w:rPr>
                <w:rFonts w:ascii="Arial" w:eastAsia="Arial" w:hAnsi="Arial" w:cs="Arial"/>
                <w:b/>
                <w:i/>
                <w:sz w:val="22"/>
                <w:szCs w:val="22"/>
              </w:rPr>
              <w:t xml:space="preserve"> </w:t>
            </w:r>
            <w:r>
              <w:rPr>
                <w:rFonts w:ascii="Calibri" w:eastAsia="Calibri" w:hAnsi="Calibri" w:cs="Calibri"/>
                <w:i/>
              </w:rPr>
              <w:t>RN, BSN, BS, CMSRN, Nurse Consultant, Wyoming Department of Health</w:t>
            </w:r>
          </w:p>
        </w:tc>
      </w:tr>
      <w:tr w:rsidR="006E2466" w14:paraId="107231B4" w14:textId="77777777">
        <w:tc>
          <w:tcPr>
            <w:tcW w:w="2400" w:type="dxa"/>
            <w:shd w:val="clear" w:color="auto" w:fill="auto"/>
            <w:tcMar>
              <w:top w:w="100" w:type="dxa"/>
              <w:left w:w="100" w:type="dxa"/>
              <w:bottom w:w="100" w:type="dxa"/>
              <w:right w:w="100" w:type="dxa"/>
            </w:tcMar>
          </w:tcPr>
          <w:p w14:paraId="6D7F91AC" w14:textId="77777777" w:rsidR="006E2466" w:rsidRDefault="006E2466">
            <w:pPr>
              <w:widowControl w:val="0"/>
              <w:ind w:left="0" w:hanging="2"/>
              <w:rPr>
                <w:rFonts w:ascii="Arial" w:eastAsia="Arial" w:hAnsi="Arial" w:cs="Arial"/>
                <w:b/>
                <w:sz w:val="22"/>
                <w:szCs w:val="22"/>
              </w:rPr>
            </w:pPr>
          </w:p>
        </w:tc>
        <w:tc>
          <w:tcPr>
            <w:tcW w:w="7620" w:type="dxa"/>
            <w:shd w:val="clear" w:color="auto" w:fill="auto"/>
            <w:tcMar>
              <w:top w:w="100" w:type="dxa"/>
              <w:left w:w="100" w:type="dxa"/>
              <w:bottom w:w="100" w:type="dxa"/>
              <w:right w:w="100" w:type="dxa"/>
            </w:tcMar>
          </w:tcPr>
          <w:p w14:paraId="520477BB" w14:textId="77777777" w:rsidR="006E2466" w:rsidRDefault="00000000">
            <w:pPr>
              <w:widowControl w:val="0"/>
              <w:ind w:left="0" w:hanging="2"/>
              <w:rPr>
                <w:rFonts w:ascii="Arial" w:eastAsia="Arial" w:hAnsi="Arial" w:cs="Arial"/>
                <w:i/>
                <w:sz w:val="22"/>
                <w:szCs w:val="22"/>
              </w:rPr>
            </w:pPr>
            <w:r>
              <w:rPr>
                <w:rFonts w:ascii="Arial" w:eastAsia="Arial" w:hAnsi="Arial" w:cs="Arial"/>
                <w:b/>
                <w:sz w:val="22"/>
                <w:szCs w:val="22"/>
              </w:rPr>
              <w:t xml:space="preserve">Breakout session 5: What’s the Big Whoop? Pertussis Morbidity as it Pertains to the State of Wyoming - </w:t>
            </w:r>
            <w:r>
              <w:rPr>
                <w:rFonts w:ascii="Arial" w:eastAsia="Arial" w:hAnsi="Arial" w:cs="Arial"/>
                <w:i/>
                <w:sz w:val="22"/>
                <w:szCs w:val="22"/>
              </w:rPr>
              <w:t xml:space="preserve">Kaylyn Friesen, MPH, </w:t>
            </w:r>
            <w:r>
              <w:rPr>
                <w:rFonts w:ascii="Calibri" w:eastAsia="Calibri" w:hAnsi="Calibri" w:cs="Calibri"/>
                <w:i/>
              </w:rPr>
              <w:t>Influenza Coordinator, Vaccine Preventable Epidemiologist, Wyoming Department of Health</w:t>
            </w:r>
          </w:p>
        </w:tc>
      </w:tr>
    </w:tbl>
    <w:p w14:paraId="07E98808" w14:textId="77777777" w:rsidR="006E2466" w:rsidRDefault="00000000">
      <w:pPr>
        <w:spacing w:line="276" w:lineRule="auto"/>
        <w:ind w:left="1" w:hanging="3"/>
        <w:rPr>
          <w:rFonts w:ascii="Arial" w:eastAsia="Arial" w:hAnsi="Arial" w:cs="Arial"/>
          <w:b/>
          <w:color w:val="FF0000"/>
          <w:sz w:val="28"/>
          <w:szCs w:val="28"/>
        </w:rPr>
      </w:pPr>
      <w:r>
        <w:rPr>
          <w:rFonts w:ascii="Arial" w:eastAsia="Arial" w:hAnsi="Arial" w:cs="Arial"/>
          <w:b/>
          <w:color w:val="FF0000"/>
          <w:sz w:val="28"/>
          <w:szCs w:val="28"/>
        </w:rPr>
        <w:lastRenderedPageBreak/>
        <w:t xml:space="preserve"> </w:t>
      </w:r>
    </w:p>
    <w:p w14:paraId="251452E1" w14:textId="77777777" w:rsidR="006E2466" w:rsidRDefault="006E2466">
      <w:pPr>
        <w:spacing w:line="276" w:lineRule="auto"/>
        <w:ind w:left="1" w:hanging="3"/>
        <w:rPr>
          <w:rFonts w:ascii="Arial" w:eastAsia="Arial" w:hAnsi="Arial" w:cs="Arial"/>
          <w:b/>
          <w:sz w:val="28"/>
          <w:szCs w:val="28"/>
        </w:rPr>
      </w:pPr>
    </w:p>
    <w:p w14:paraId="17BC4F84" w14:textId="77777777" w:rsidR="006E2466" w:rsidRDefault="00000000">
      <w:pPr>
        <w:spacing w:line="276" w:lineRule="auto"/>
        <w:ind w:left="1" w:hanging="3"/>
        <w:rPr>
          <w:rFonts w:ascii="Arial" w:eastAsia="Arial" w:hAnsi="Arial" w:cs="Arial"/>
          <w:b/>
          <w:color w:val="000000"/>
          <w:sz w:val="28"/>
          <w:szCs w:val="28"/>
        </w:rPr>
      </w:pPr>
      <w:r>
        <w:rPr>
          <w:rFonts w:ascii="Arial" w:eastAsia="Arial" w:hAnsi="Arial" w:cs="Arial"/>
          <w:b/>
          <w:color w:val="000000"/>
          <w:sz w:val="28"/>
          <w:szCs w:val="28"/>
        </w:rPr>
        <w:t>OBJECTIVES</w:t>
      </w:r>
    </w:p>
    <w:p w14:paraId="2E434343" w14:textId="77777777" w:rsidR="006E2466" w:rsidRDefault="006E2466">
      <w:pPr>
        <w:spacing w:line="276" w:lineRule="auto"/>
        <w:ind w:left="1" w:hanging="3"/>
        <w:rPr>
          <w:rFonts w:ascii="Arial" w:eastAsia="Arial" w:hAnsi="Arial" w:cs="Arial"/>
          <w:b/>
          <w:sz w:val="28"/>
          <w:szCs w:val="28"/>
        </w:rPr>
      </w:pPr>
    </w:p>
    <w:p w14:paraId="65781FAE" w14:textId="77777777" w:rsidR="006E2466" w:rsidRDefault="00000000">
      <w:pPr>
        <w:numPr>
          <w:ilvl w:val="0"/>
          <w:numId w:val="1"/>
        </w:numPr>
        <w:ind w:left="1" w:hanging="3"/>
        <w:rPr>
          <w:rFonts w:ascii="Calibri" w:eastAsia="Calibri" w:hAnsi="Calibri" w:cs="Calibri"/>
          <w:sz w:val="28"/>
          <w:szCs w:val="28"/>
        </w:rPr>
      </w:pPr>
      <w:r>
        <w:rPr>
          <w:rFonts w:ascii="Calibri" w:eastAsia="Calibri" w:hAnsi="Calibri" w:cs="Calibri"/>
          <w:sz w:val="28"/>
          <w:szCs w:val="28"/>
        </w:rPr>
        <w:t>Recognize patient populations that will benefit from age-appropriate vaccination.</w:t>
      </w:r>
    </w:p>
    <w:p w14:paraId="4C6434D8" w14:textId="77777777" w:rsidR="006E2466" w:rsidRDefault="00000000">
      <w:pPr>
        <w:numPr>
          <w:ilvl w:val="0"/>
          <w:numId w:val="1"/>
        </w:numPr>
        <w:ind w:left="1" w:hanging="3"/>
        <w:rPr>
          <w:rFonts w:ascii="Calibri" w:eastAsia="Calibri" w:hAnsi="Calibri" w:cs="Calibri"/>
          <w:sz w:val="28"/>
          <w:szCs w:val="28"/>
        </w:rPr>
      </w:pPr>
      <w:r>
        <w:rPr>
          <w:rFonts w:ascii="Calibri" w:eastAsia="Calibri" w:hAnsi="Calibri" w:cs="Calibri"/>
          <w:sz w:val="28"/>
          <w:szCs w:val="28"/>
        </w:rPr>
        <w:t>Recognize important concepts related to successful vaccine therapy and increasing immunization coverage rates.</w:t>
      </w:r>
    </w:p>
    <w:p w14:paraId="3B4C2C1E" w14:textId="77777777" w:rsidR="006E2466" w:rsidRDefault="00000000">
      <w:pPr>
        <w:numPr>
          <w:ilvl w:val="0"/>
          <w:numId w:val="1"/>
        </w:numPr>
        <w:ind w:left="1" w:hanging="3"/>
        <w:rPr>
          <w:rFonts w:ascii="Calibri" w:eastAsia="Calibri" w:hAnsi="Calibri" w:cs="Calibri"/>
          <w:sz w:val="28"/>
          <w:szCs w:val="28"/>
        </w:rPr>
      </w:pPr>
      <w:r>
        <w:rPr>
          <w:rFonts w:ascii="Calibri" w:eastAsia="Calibri" w:hAnsi="Calibri" w:cs="Calibri"/>
          <w:sz w:val="28"/>
          <w:szCs w:val="28"/>
        </w:rPr>
        <w:t>Define strategies to prevent vaccine storage and handling errors.</w:t>
      </w:r>
    </w:p>
    <w:p w14:paraId="74455915" w14:textId="77777777" w:rsidR="006E2466" w:rsidRDefault="00000000">
      <w:pPr>
        <w:numPr>
          <w:ilvl w:val="0"/>
          <w:numId w:val="1"/>
        </w:numPr>
        <w:ind w:left="1" w:hanging="3"/>
        <w:rPr>
          <w:rFonts w:ascii="Calibri" w:eastAsia="Calibri" w:hAnsi="Calibri" w:cs="Calibri"/>
          <w:sz w:val="28"/>
          <w:szCs w:val="28"/>
        </w:rPr>
      </w:pPr>
      <w:r>
        <w:rPr>
          <w:rFonts w:ascii="Calibri" w:eastAsia="Calibri" w:hAnsi="Calibri" w:cs="Calibri"/>
          <w:sz w:val="28"/>
          <w:szCs w:val="28"/>
        </w:rPr>
        <w:t>Name three ways to utilize reports from within the WyIR to monitor data quality and manage vaccine inventories.</w:t>
      </w:r>
    </w:p>
    <w:p w14:paraId="237760D5" w14:textId="77777777" w:rsidR="006E2466" w:rsidRDefault="00000000">
      <w:pPr>
        <w:numPr>
          <w:ilvl w:val="0"/>
          <w:numId w:val="1"/>
        </w:numPr>
        <w:ind w:left="1" w:hanging="3"/>
        <w:rPr>
          <w:rFonts w:ascii="Calibri" w:eastAsia="Calibri" w:hAnsi="Calibri" w:cs="Calibri"/>
          <w:sz w:val="28"/>
          <w:szCs w:val="28"/>
        </w:rPr>
      </w:pPr>
      <w:r>
        <w:rPr>
          <w:rFonts w:ascii="Calibri" w:eastAsia="Calibri" w:hAnsi="Calibri" w:cs="Calibri"/>
          <w:sz w:val="28"/>
          <w:szCs w:val="28"/>
        </w:rPr>
        <w:t>Recognize innovations in vaccine technology and trends and apply them in practice.</w:t>
      </w:r>
    </w:p>
    <w:p w14:paraId="35CA9BEE" w14:textId="77777777" w:rsidR="006E2466" w:rsidRDefault="00000000">
      <w:pPr>
        <w:numPr>
          <w:ilvl w:val="0"/>
          <w:numId w:val="1"/>
        </w:numPr>
        <w:ind w:left="1" w:hanging="3"/>
        <w:rPr>
          <w:rFonts w:ascii="Calibri" w:eastAsia="Calibri" w:hAnsi="Calibri" w:cs="Calibri"/>
          <w:sz w:val="28"/>
          <w:szCs w:val="28"/>
        </w:rPr>
      </w:pPr>
      <w:r>
        <w:rPr>
          <w:rFonts w:ascii="Calibri" w:eastAsia="Calibri" w:hAnsi="Calibri" w:cs="Calibri"/>
          <w:sz w:val="28"/>
          <w:szCs w:val="28"/>
        </w:rPr>
        <w:t>Describe different communication techniques that teams can use to achieve successful vaccine therapy in individuals and the community.</w:t>
      </w:r>
    </w:p>
    <w:p w14:paraId="38CCB70E" w14:textId="77777777" w:rsidR="006E2466" w:rsidRDefault="006E2466">
      <w:pPr>
        <w:ind w:left="1" w:hanging="3"/>
        <w:rPr>
          <w:rFonts w:ascii="Calibri" w:eastAsia="Calibri" w:hAnsi="Calibri" w:cs="Calibri"/>
          <w:sz w:val="28"/>
          <w:szCs w:val="28"/>
        </w:rPr>
      </w:pPr>
    </w:p>
    <w:p w14:paraId="20975367" w14:textId="77777777" w:rsidR="006E2466" w:rsidRDefault="00000000">
      <w:pPr>
        <w:spacing w:line="276" w:lineRule="auto"/>
        <w:ind w:left="0" w:hanging="2"/>
        <w:rPr>
          <w:rFonts w:ascii="Arial" w:eastAsia="Arial" w:hAnsi="Arial" w:cs="Arial"/>
          <w:color w:val="FF0000"/>
          <w:sz w:val="28"/>
          <w:szCs w:val="28"/>
        </w:rPr>
      </w:pPr>
      <w:r>
        <w:rPr>
          <w:rFonts w:ascii="Arial" w:eastAsia="Arial" w:hAnsi="Arial" w:cs="Arial"/>
          <w:b/>
          <w:color w:val="000000"/>
        </w:rPr>
        <w:t>ACCREDITATION STATEMENTS:</w:t>
      </w:r>
    </w:p>
    <w:p w14:paraId="68675C8C" w14:textId="77777777" w:rsidR="006E2466" w:rsidRDefault="006E2466">
      <w:pPr>
        <w:spacing w:line="276" w:lineRule="auto"/>
        <w:ind w:left="1" w:hanging="3"/>
        <w:rPr>
          <w:rFonts w:ascii="Arial" w:eastAsia="Arial" w:hAnsi="Arial" w:cs="Arial"/>
          <w:color w:val="FF0000"/>
          <w:sz w:val="28"/>
          <w:szCs w:val="28"/>
        </w:rPr>
      </w:pPr>
    </w:p>
    <w:tbl>
      <w:tblPr>
        <w:tblStyle w:val="a7"/>
        <w:tblW w:w="9576" w:type="dxa"/>
        <w:tblInd w:w="-108" w:type="dxa"/>
        <w:tblLayout w:type="fixed"/>
        <w:tblLook w:val="0000" w:firstRow="0" w:lastRow="0" w:firstColumn="0" w:lastColumn="0" w:noHBand="0" w:noVBand="0"/>
      </w:tblPr>
      <w:tblGrid>
        <w:gridCol w:w="2333"/>
        <w:gridCol w:w="7243"/>
      </w:tblGrid>
      <w:tr w:rsidR="006E2466" w14:paraId="295F7DA9" w14:textId="77777777">
        <w:tc>
          <w:tcPr>
            <w:tcW w:w="2333" w:type="dxa"/>
          </w:tcPr>
          <w:p w14:paraId="605667A9" w14:textId="77777777" w:rsidR="006E2466" w:rsidRDefault="006E2466">
            <w:pPr>
              <w:spacing w:line="276" w:lineRule="auto"/>
              <w:ind w:left="0" w:hanging="2"/>
            </w:pPr>
          </w:p>
          <w:p w14:paraId="6DD3A172" w14:textId="77777777" w:rsidR="006E2466" w:rsidRDefault="00000000">
            <w:pPr>
              <w:spacing w:line="276" w:lineRule="auto"/>
              <w:ind w:left="0" w:hanging="2"/>
            </w:pPr>
            <w:r>
              <w:rPr>
                <w:noProof/>
              </w:rPr>
              <w:drawing>
                <wp:inline distT="0" distB="0" distL="114300" distR="114300" wp14:anchorId="2BB57A22" wp14:editId="6C1B2AA3">
                  <wp:extent cx="1344295" cy="1170305"/>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4295" cy="1170305"/>
                          </a:xfrm>
                          <a:prstGeom prst="rect">
                            <a:avLst/>
                          </a:prstGeom>
                          <a:ln/>
                        </pic:spPr>
                      </pic:pic>
                    </a:graphicData>
                  </a:graphic>
                </wp:inline>
              </w:drawing>
            </w:r>
          </w:p>
          <w:p w14:paraId="6AE5978F" w14:textId="77777777" w:rsidR="006E2466" w:rsidRDefault="006E2466">
            <w:pPr>
              <w:spacing w:line="276" w:lineRule="auto"/>
              <w:ind w:left="0" w:hanging="2"/>
              <w:rPr>
                <w:rFonts w:ascii="Arial" w:eastAsia="Arial" w:hAnsi="Arial" w:cs="Arial"/>
                <w:color w:val="000000"/>
              </w:rPr>
            </w:pPr>
          </w:p>
        </w:tc>
        <w:tc>
          <w:tcPr>
            <w:tcW w:w="7243" w:type="dxa"/>
          </w:tcPr>
          <w:p w14:paraId="04F4409D" w14:textId="77777777" w:rsidR="006E2466" w:rsidRDefault="00000000">
            <w:pPr>
              <w:spacing w:line="276" w:lineRule="auto"/>
              <w:ind w:left="0" w:hanging="2"/>
              <w:rPr>
                <w:rFonts w:ascii="Arial" w:eastAsia="Arial" w:hAnsi="Arial" w:cs="Arial"/>
                <w:color w:val="000000"/>
                <w:sz w:val="22"/>
                <w:szCs w:val="22"/>
              </w:rPr>
            </w:pPr>
            <w:r>
              <w:rPr>
                <w:rFonts w:ascii="Arial" w:eastAsia="Arial" w:hAnsi="Arial" w:cs="Arial"/>
                <w:color w:val="000000"/>
              </w:rPr>
              <w:t xml:space="preserve">In support of improving patient care, this activity has been planned and implemented by Centers for Disease Control and Prevention and </w:t>
            </w:r>
            <w:r>
              <w:rPr>
                <w:rFonts w:ascii="Arial" w:eastAsia="Arial" w:hAnsi="Arial" w:cs="Arial"/>
                <w:b/>
              </w:rPr>
              <w:t>Wyoming Department of Health Immunization Unit</w:t>
            </w:r>
            <w:r>
              <w:rPr>
                <w:rFonts w:ascii="Arial" w:eastAsia="Arial" w:hAnsi="Arial" w:cs="Arial"/>
                <w:color w:val="000000"/>
              </w:rPr>
              <w:t>. The Centers for Disease Control and Prevention is jointly accredited by the Accreditation Council for Continuing Medical Education (ACCME), the Accreditation Council for Pharmacy Education (ACPE), and the American Nurses Credentialing Center (ANCC), to provide continuing education for the healthcare team</w:t>
            </w:r>
          </w:p>
        </w:tc>
      </w:tr>
    </w:tbl>
    <w:p w14:paraId="4F647FD4" w14:textId="77777777" w:rsidR="006E2466" w:rsidRDefault="006E2466">
      <w:pPr>
        <w:spacing w:line="276" w:lineRule="auto"/>
        <w:ind w:left="0" w:hanging="2"/>
        <w:rPr>
          <w:rFonts w:ascii="Arial" w:eastAsia="Arial" w:hAnsi="Arial" w:cs="Arial"/>
        </w:rPr>
      </w:pPr>
    </w:p>
    <w:p w14:paraId="5D88D423" w14:textId="5FE92DC8" w:rsidR="006E2466" w:rsidRDefault="00000000">
      <w:pPr>
        <w:spacing w:line="276" w:lineRule="auto"/>
        <w:ind w:left="0" w:hanging="2"/>
        <w:rPr>
          <w:rFonts w:ascii="Arial" w:eastAsia="Arial" w:hAnsi="Arial" w:cs="Arial"/>
        </w:rPr>
      </w:pPr>
      <w:r>
        <w:rPr>
          <w:rFonts w:ascii="Arial" w:eastAsia="Arial" w:hAnsi="Arial" w:cs="Arial"/>
          <w:b/>
          <w:color w:val="000000"/>
        </w:rPr>
        <w:t xml:space="preserve">CNE:  </w:t>
      </w:r>
      <w:r>
        <w:rPr>
          <w:rFonts w:ascii="Arial" w:eastAsia="Arial" w:hAnsi="Arial" w:cs="Arial"/>
        </w:rPr>
        <w:t xml:space="preserve">The Centers for Disease Control and Prevention designates this activity for </w:t>
      </w:r>
      <w:r>
        <w:rPr>
          <w:rFonts w:ascii="Arial" w:eastAsia="Arial" w:hAnsi="Arial" w:cs="Arial"/>
          <w:b/>
        </w:rPr>
        <w:t>(</w:t>
      </w:r>
      <w:r w:rsidR="003647AD">
        <w:rPr>
          <w:rFonts w:ascii="Arial" w:eastAsia="Arial" w:hAnsi="Arial" w:cs="Arial"/>
          <w:b/>
        </w:rPr>
        <w:t>9.0</w:t>
      </w:r>
      <w:r>
        <w:rPr>
          <w:rFonts w:ascii="Arial" w:eastAsia="Arial" w:hAnsi="Arial" w:cs="Arial"/>
          <w:b/>
        </w:rPr>
        <w:t>)</w:t>
      </w:r>
      <w:r>
        <w:rPr>
          <w:rFonts w:ascii="Arial" w:eastAsia="Arial" w:hAnsi="Arial" w:cs="Arial"/>
        </w:rPr>
        <w:t xml:space="preserve"> nursing contact hours.</w:t>
      </w:r>
    </w:p>
    <w:p w14:paraId="653F20AC" w14:textId="77777777" w:rsidR="006E2466" w:rsidRDefault="00000000">
      <w:pPr>
        <w:spacing w:before="280" w:after="280"/>
        <w:ind w:left="0" w:hanging="2"/>
        <w:rPr>
          <w:rFonts w:ascii="Arial" w:eastAsia="Arial" w:hAnsi="Arial" w:cs="Arial"/>
        </w:rPr>
      </w:pPr>
      <w:r>
        <w:rPr>
          <w:rFonts w:ascii="Arial" w:eastAsia="Arial" w:hAnsi="Arial" w:cs="Arial"/>
        </w:rPr>
        <w:t>After credit is claimed, an unofficial statement of credit is immediately available on CDC TRAIN. Official credit will be uploaded within 60 days on the NABP/CPE Monitor</w:t>
      </w:r>
    </w:p>
    <w:p w14:paraId="41D55E25" w14:textId="77777777" w:rsidR="006E2466" w:rsidRDefault="006E2466">
      <w:pPr>
        <w:spacing w:line="276" w:lineRule="auto"/>
        <w:ind w:left="0" w:hanging="2"/>
        <w:rPr>
          <w:rFonts w:ascii="Arial" w:eastAsia="Arial" w:hAnsi="Arial" w:cs="Arial"/>
        </w:rPr>
      </w:pPr>
    </w:p>
    <w:p w14:paraId="31898E5B" w14:textId="49B7FDD9" w:rsidR="006E2466" w:rsidRDefault="00000000">
      <w:pPr>
        <w:spacing w:line="276" w:lineRule="auto"/>
        <w:ind w:left="0" w:hanging="2"/>
        <w:rPr>
          <w:rFonts w:ascii="Arial" w:eastAsia="Arial" w:hAnsi="Arial" w:cs="Arial"/>
        </w:rPr>
      </w:pPr>
      <w:r>
        <w:rPr>
          <w:rFonts w:ascii="Arial" w:eastAsia="Arial" w:hAnsi="Arial" w:cs="Arial"/>
          <w:b/>
        </w:rPr>
        <w:t xml:space="preserve">CEU:  </w:t>
      </w:r>
      <w:r>
        <w:rPr>
          <w:rFonts w:ascii="Arial" w:eastAsia="Arial" w:hAnsi="Arial" w:cs="Arial"/>
        </w:rPr>
        <w:t xml:space="preserve">The Centers for Disease Control and Prevention is authorized by IACET to offer </w:t>
      </w:r>
      <w:r>
        <w:rPr>
          <w:rFonts w:ascii="Arial" w:eastAsia="Arial" w:hAnsi="Arial" w:cs="Arial"/>
          <w:b/>
        </w:rPr>
        <w:t>(</w:t>
      </w:r>
      <w:r w:rsidR="003647AD">
        <w:rPr>
          <w:rFonts w:ascii="Arial" w:eastAsia="Arial" w:hAnsi="Arial" w:cs="Arial"/>
          <w:b/>
        </w:rPr>
        <w:t>0.9</w:t>
      </w:r>
      <w:r>
        <w:rPr>
          <w:rFonts w:ascii="Arial" w:eastAsia="Arial" w:hAnsi="Arial" w:cs="Arial"/>
          <w:b/>
        </w:rPr>
        <w:t>)</w:t>
      </w:r>
      <w:r>
        <w:rPr>
          <w:rFonts w:ascii="Arial" w:eastAsia="Arial" w:hAnsi="Arial" w:cs="Arial"/>
        </w:rPr>
        <w:t xml:space="preserve"> CEU's for this program.</w:t>
      </w:r>
    </w:p>
    <w:p w14:paraId="0526F588" w14:textId="77777777" w:rsidR="006E2466" w:rsidRDefault="006E2466">
      <w:pPr>
        <w:spacing w:line="276" w:lineRule="auto"/>
        <w:ind w:left="0" w:hanging="2"/>
        <w:rPr>
          <w:rFonts w:ascii="Arial" w:eastAsia="Arial" w:hAnsi="Arial" w:cs="Arial"/>
        </w:rPr>
      </w:pPr>
    </w:p>
    <w:p w14:paraId="42A605EC" w14:textId="77777777" w:rsidR="006E2466" w:rsidRDefault="00000000">
      <w:pPr>
        <w:spacing w:line="276" w:lineRule="auto"/>
        <w:ind w:left="0" w:hanging="2"/>
        <w:rPr>
          <w:rFonts w:ascii="Arial" w:eastAsia="Arial" w:hAnsi="Arial" w:cs="Arial"/>
        </w:rPr>
      </w:pPr>
      <w:r>
        <w:rPr>
          <w:rFonts w:ascii="Arial" w:eastAsia="Arial" w:hAnsi="Arial" w:cs="Arial"/>
          <w:b/>
        </w:rPr>
        <w:t>For Certified Public Health Professionals (CPH)</w:t>
      </w:r>
    </w:p>
    <w:p w14:paraId="763E0C51" w14:textId="33294865" w:rsidR="006E2466" w:rsidRDefault="00000000">
      <w:pPr>
        <w:spacing w:before="280" w:after="280"/>
        <w:ind w:left="0" w:hanging="2"/>
        <w:rPr>
          <w:rFonts w:ascii="Arial" w:eastAsia="Arial" w:hAnsi="Arial" w:cs="Arial"/>
        </w:rPr>
      </w:pPr>
      <w:r>
        <w:rPr>
          <w:rFonts w:ascii="Arial" w:eastAsia="Arial" w:hAnsi="Arial" w:cs="Arial"/>
        </w:rPr>
        <w:lastRenderedPageBreak/>
        <w:t xml:space="preserve">The Centers for Disease Control and Prevention is a pre-approved provider of Certified in Public Health (CPH) recertification credits and is authorized to offer </w:t>
      </w:r>
      <w:r>
        <w:rPr>
          <w:rFonts w:ascii="Arial" w:eastAsia="Arial" w:hAnsi="Arial" w:cs="Arial"/>
          <w:b/>
        </w:rPr>
        <w:t>(</w:t>
      </w:r>
      <w:r w:rsidR="003647AD">
        <w:rPr>
          <w:rFonts w:ascii="Arial" w:eastAsia="Arial" w:hAnsi="Arial" w:cs="Arial"/>
          <w:b/>
        </w:rPr>
        <w:t>9.0</w:t>
      </w:r>
      <w:r>
        <w:rPr>
          <w:rFonts w:ascii="Arial" w:eastAsia="Arial" w:hAnsi="Arial" w:cs="Arial"/>
          <w:b/>
        </w:rPr>
        <w:t>)</w:t>
      </w:r>
      <w:r>
        <w:rPr>
          <w:rFonts w:ascii="Arial" w:eastAsia="Arial" w:hAnsi="Arial" w:cs="Arial"/>
        </w:rPr>
        <w:t xml:space="preserve"> CPH recertification credits for this program.</w:t>
      </w:r>
    </w:p>
    <w:p w14:paraId="456B7A9C" w14:textId="77777777" w:rsidR="006E2466" w:rsidRDefault="00000000">
      <w:pPr>
        <w:spacing w:before="280" w:after="280"/>
        <w:ind w:left="0" w:hanging="2"/>
        <w:jc w:val="center"/>
        <w:rPr>
          <w:rFonts w:ascii="Arial" w:eastAsia="Arial" w:hAnsi="Arial" w:cs="Arial"/>
          <w:color w:val="000000"/>
        </w:rPr>
      </w:pPr>
      <w:r>
        <w:rPr>
          <w:rFonts w:ascii="Arial" w:eastAsia="Arial" w:hAnsi="Arial" w:cs="Arial"/>
          <w:b/>
          <w:color w:val="000000"/>
        </w:rPr>
        <w:t>DISCLOSURE:</w:t>
      </w:r>
      <w:r>
        <w:rPr>
          <w:rFonts w:ascii="Arial" w:eastAsia="Arial" w:hAnsi="Arial" w:cs="Arial"/>
          <w:color w:val="000000"/>
        </w:rPr>
        <w:t xml:space="preserve"> </w:t>
      </w:r>
    </w:p>
    <w:p w14:paraId="474B7DD3" w14:textId="77777777" w:rsidR="006E2466" w:rsidRDefault="00000000">
      <w:pPr>
        <w:spacing w:before="280" w:after="280"/>
        <w:ind w:left="0" w:hanging="2"/>
        <w:jc w:val="center"/>
        <w:rPr>
          <w:rFonts w:ascii="Arial" w:eastAsia="Arial" w:hAnsi="Arial" w:cs="Arial"/>
          <w:color w:val="000000"/>
        </w:rPr>
      </w:pPr>
      <w:r>
        <w:rPr>
          <w:rFonts w:ascii="Arial" w:eastAsia="Arial" w:hAnsi="Arial" w:cs="Arial"/>
          <w:color w:val="000000"/>
        </w:rPr>
        <w:t xml:space="preserve">In compliance with continuing education requirements, all planners and presenters/moderators must disclose all financial relationships, in any amount, with ineligible companies during the previous 24 months as well as any use of unlabeled product(s) or products under investigational use.   </w:t>
      </w:r>
    </w:p>
    <w:p w14:paraId="3626E89C" w14:textId="77777777" w:rsidR="006E2466" w:rsidRDefault="006E2466">
      <w:pPr>
        <w:pBdr>
          <w:top w:val="nil"/>
          <w:left w:val="nil"/>
          <w:bottom w:val="nil"/>
          <w:right w:val="nil"/>
          <w:between w:val="nil"/>
        </w:pBdr>
        <w:spacing w:line="276" w:lineRule="auto"/>
        <w:ind w:left="0" w:hanging="2"/>
        <w:jc w:val="center"/>
        <w:rPr>
          <w:rFonts w:ascii="Arial" w:eastAsia="Arial" w:hAnsi="Arial" w:cs="Arial"/>
        </w:rPr>
      </w:pPr>
    </w:p>
    <w:p w14:paraId="0DB6842A" w14:textId="77777777" w:rsidR="006E2466" w:rsidRDefault="00000000">
      <w:pPr>
        <w:spacing w:line="276" w:lineRule="auto"/>
        <w:ind w:left="0" w:hanging="2"/>
        <w:jc w:val="center"/>
        <w:rPr>
          <w:rFonts w:ascii="Arial" w:eastAsia="Arial" w:hAnsi="Arial" w:cs="Arial"/>
          <w:b/>
          <w:color w:val="000000"/>
        </w:rPr>
      </w:pPr>
      <w:r>
        <w:rPr>
          <w:rFonts w:ascii="Arial" w:eastAsia="Arial" w:hAnsi="Arial" w:cs="Arial"/>
          <w:i/>
        </w:rPr>
        <w:t xml:space="preserve">CDC, our planners, and presenters/moderators wish to disclose they have no financial relationship(s) with ineligible companies with the exception of </w:t>
      </w:r>
      <w:r>
        <w:rPr>
          <w:rFonts w:ascii="Arial" w:eastAsia="Arial" w:hAnsi="Arial" w:cs="Arial"/>
          <w:b/>
          <w:i/>
        </w:rPr>
        <w:t>Angel Flores</w:t>
      </w:r>
      <w:r>
        <w:rPr>
          <w:rFonts w:ascii="Arial" w:eastAsia="Arial" w:hAnsi="Arial" w:cs="Arial"/>
          <w:i/>
        </w:rPr>
        <w:t xml:space="preserve"> and he wishes to disclose </w:t>
      </w:r>
      <w:r>
        <w:rPr>
          <w:rFonts w:ascii="Arial" w:eastAsia="Arial" w:hAnsi="Arial" w:cs="Arial"/>
          <w:b/>
          <w:i/>
        </w:rPr>
        <w:t>his financial relationship with King Sooper’s Pharmacy, Melinda Carroll,</w:t>
      </w:r>
      <w:r>
        <w:rPr>
          <w:rFonts w:ascii="Arial" w:eastAsia="Arial" w:hAnsi="Arial" w:cs="Arial"/>
          <w:i/>
        </w:rPr>
        <w:t xml:space="preserve"> and she wishes to disclose </w:t>
      </w:r>
      <w:r>
        <w:rPr>
          <w:rFonts w:ascii="Arial" w:eastAsia="Arial" w:hAnsi="Arial" w:cs="Arial"/>
          <w:b/>
          <w:i/>
        </w:rPr>
        <w:t>her financial relationship with King Sooper’s Pharmacy, Kaylyn Friesen</w:t>
      </w:r>
      <w:r>
        <w:rPr>
          <w:rFonts w:ascii="Arial" w:eastAsia="Arial" w:hAnsi="Arial" w:cs="Arial"/>
          <w:i/>
        </w:rPr>
        <w:t xml:space="preserve"> and she wishes to disclose </w:t>
      </w:r>
      <w:r>
        <w:rPr>
          <w:rFonts w:ascii="Arial" w:eastAsia="Arial" w:hAnsi="Arial" w:cs="Arial"/>
          <w:b/>
          <w:i/>
        </w:rPr>
        <w:t xml:space="preserve">her financial relationship with Walgreens, Jason </w:t>
      </w:r>
      <w:proofErr w:type="spellStart"/>
      <w:r>
        <w:rPr>
          <w:rFonts w:ascii="Arial" w:eastAsia="Arial" w:hAnsi="Arial" w:cs="Arial"/>
          <w:b/>
          <w:i/>
        </w:rPr>
        <w:t>McCanless</w:t>
      </w:r>
      <w:proofErr w:type="spellEnd"/>
      <w:r>
        <w:rPr>
          <w:rFonts w:ascii="Arial" w:eastAsia="Arial" w:hAnsi="Arial" w:cs="Arial"/>
          <w:b/>
          <w:i/>
        </w:rPr>
        <w:t xml:space="preserve">, </w:t>
      </w:r>
      <w:r>
        <w:rPr>
          <w:rFonts w:ascii="Arial" w:eastAsia="Arial" w:hAnsi="Arial" w:cs="Arial"/>
          <w:i/>
        </w:rPr>
        <w:t>and he wishes to disclose</w:t>
      </w:r>
      <w:r>
        <w:rPr>
          <w:rFonts w:ascii="Arial" w:eastAsia="Arial" w:hAnsi="Arial" w:cs="Arial"/>
          <w:b/>
          <w:i/>
        </w:rPr>
        <w:t xml:space="preserve"> his financial relationship with </w:t>
      </w:r>
      <w:proofErr w:type="spellStart"/>
      <w:r>
        <w:rPr>
          <w:rFonts w:ascii="Arial" w:eastAsia="Arial" w:hAnsi="Arial" w:cs="Arial"/>
          <w:b/>
          <w:i/>
        </w:rPr>
        <w:t>GSKGlaxoSmithKline</w:t>
      </w:r>
      <w:proofErr w:type="spellEnd"/>
      <w:r>
        <w:rPr>
          <w:rFonts w:ascii="Arial" w:eastAsia="Arial" w:hAnsi="Arial" w:cs="Arial"/>
          <w:b/>
          <w:i/>
        </w:rPr>
        <w:t xml:space="preserve"> plc, and Heather Simpson</w:t>
      </w:r>
      <w:r>
        <w:rPr>
          <w:rFonts w:ascii="Arial" w:eastAsia="Arial" w:hAnsi="Arial" w:cs="Arial"/>
          <w:i/>
        </w:rPr>
        <w:t xml:space="preserve"> and she wishes to disclose </w:t>
      </w:r>
      <w:r>
        <w:rPr>
          <w:rFonts w:ascii="Arial" w:eastAsia="Arial" w:hAnsi="Arial" w:cs="Arial"/>
          <w:b/>
          <w:i/>
        </w:rPr>
        <w:t>her financial relationship with GlaxoSmithKline plc</w:t>
      </w:r>
      <w:r>
        <w:rPr>
          <w:rFonts w:ascii="Arial" w:eastAsia="Arial" w:hAnsi="Arial" w:cs="Arial"/>
          <w:i/>
        </w:rPr>
        <w:t>. All relevant financial relationships listed for these individuals have been mitigated.</w:t>
      </w:r>
    </w:p>
    <w:p w14:paraId="2DF8EA6B" w14:textId="77777777" w:rsidR="006E2466" w:rsidRDefault="006E2466">
      <w:pPr>
        <w:spacing w:line="276" w:lineRule="auto"/>
        <w:ind w:left="0" w:hanging="2"/>
        <w:jc w:val="center"/>
        <w:rPr>
          <w:rFonts w:ascii="Arial" w:eastAsia="Arial" w:hAnsi="Arial" w:cs="Arial"/>
          <w:color w:val="000000"/>
        </w:rPr>
      </w:pPr>
    </w:p>
    <w:p w14:paraId="4145D653" w14:textId="77777777" w:rsidR="006E2466" w:rsidRDefault="00000000">
      <w:pPr>
        <w:widowControl w:val="0"/>
        <w:pBdr>
          <w:top w:val="nil"/>
          <w:left w:val="nil"/>
          <w:bottom w:val="nil"/>
          <w:right w:val="nil"/>
          <w:between w:val="nil"/>
        </w:pBdr>
        <w:spacing w:line="276" w:lineRule="auto"/>
        <w:ind w:left="0" w:hanging="2"/>
        <w:jc w:val="center"/>
        <w:rPr>
          <w:rFonts w:ascii="Arial" w:eastAsia="Arial" w:hAnsi="Arial" w:cs="Arial"/>
          <w:color w:val="000000"/>
        </w:rPr>
      </w:pPr>
      <w:r>
        <w:rPr>
          <w:rFonts w:ascii="Arial" w:eastAsia="Arial" w:hAnsi="Arial" w:cs="Arial"/>
          <w:color w:val="000000"/>
        </w:rPr>
        <w:t>Presentations</w:t>
      </w:r>
      <w:r>
        <w:rPr>
          <w:rFonts w:ascii="Arial" w:eastAsia="Arial" w:hAnsi="Arial" w:cs="Arial"/>
          <w:b/>
          <w:color w:val="000000"/>
        </w:rPr>
        <w:t xml:space="preserve"> </w:t>
      </w:r>
      <w:r>
        <w:rPr>
          <w:rFonts w:ascii="Arial" w:eastAsia="Arial" w:hAnsi="Arial" w:cs="Arial"/>
          <w:color w:val="000000"/>
        </w:rPr>
        <w:t>will not include any discussion of the unlabeled use of a product or a product under investigational use.</w:t>
      </w:r>
    </w:p>
    <w:p w14:paraId="2F3C049F" w14:textId="77777777" w:rsidR="006E2466" w:rsidRDefault="006E2466">
      <w:pPr>
        <w:spacing w:line="276" w:lineRule="auto"/>
        <w:ind w:left="0" w:hanging="2"/>
        <w:jc w:val="center"/>
        <w:rPr>
          <w:rFonts w:ascii="Arial" w:eastAsia="Arial" w:hAnsi="Arial" w:cs="Arial"/>
          <w:color w:val="000000"/>
        </w:rPr>
      </w:pPr>
    </w:p>
    <w:p w14:paraId="2C8A12C4" w14:textId="77777777" w:rsidR="006E2466" w:rsidRDefault="00000000">
      <w:pPr>
        <w:spacing w:line="276" w:lineRule="auto"/>
        <w:ind w:left="0" w:hanging="2"/>
        <w:jc w:val="center"/>
        <w:rPr>
          <w:rFonts w:ascii="Arial" w:eastAsia="Arial" w:hAnsi="Arial" w:cs="Arial"/>
          <w:color w:val="000000"/>
        </w:rPr>
      </w:pPr>
      <w:r>
        <w:rPr>
          <w:rFonts w:ascii="Arial" w:eastAsia="Arial" w:hAnsi="Arial" w:cs="Arial"/>
          <w:color w:val="000000"/>
        </w:rPr>
        <w:t>CDC did not accept financial or in-kind support from ineligible companies for this continuing education activity.</w:t>
      </w:r>
    </w:p>
    <w:p w14:paraId="47FEBC39" w14:textId="77777777" w:rsidR="006E2466" w:rsidRDefault="006E2466">
      <w:pPr>
        <w:spacing w:line="276" w:lineRule="auto"/>
        <w:ind w:left="0" w:hanging="2"/>
        <w:jc w:val="center"/>
        <w:rPr>
          <w:rFonts w:ascii="Arial" w:eastAsia="Arial" w:hAnsi="Arial" w:cs="Arial"/>
          <w:color w:val="000000"/>
        </w:rPr>
      </w:pPr>
    </w:p>
    <w:p w14:paraId="1287BA71" w14:textId="77777777" w:rsidR="006E2466" w:rsidRDefault="00000000">
      <w:pPr>
        <w:widowControl w:val="0"/>
        <w:spacing w:line="276" w:lineRule="auto"/>
        <w:ind w:left="0" w:hanging="2"/>
        <w:jc w:val="center"/>
        <w:rPr>
          <w:rFonts w:ascii="Arial" w:eastAsia="Arial" w:hAnsi="Arial" w:cs="Arial"/>
          <w:sz w:val="22"/>
          <w:szCs w:val="22"/>
        </w:rPr>
      </w:pPr>
      <w:r>
        <w:rPr>
          <w:rFonts w:ascii="Arial" w:eastAsia="Arial" w:hAnsi="Arial" w:cs="Arial"/>
          <w:color w:val="1B1B1B"/>
          <w:sz w:val="22"/>
          <w:szCs w:val="22"/>
          <w:highlight w:val="white"/>
        </w:rPr>
        <w:t xml:space="preserve">The Centers for Disease Control and Prevention (CDC) complies with applicable Federal civil rights laws and does not discriminate based on race, color, national origin, age, disability, religion, or sex (including pregnancy, sexual orientation, and gender identity). To learn more visit: </w:t>
      </w:r>
      <w:hyperlink r:id="rId9">
        <w:r>
          <w:rPr>
            <w:rFonts w:ascii="Arial" w:eastAsia="Arial" w:hAnsi="Arial" w:cs="Arial"/>
            <w:color w:val="0000FF"/>
            <w:sz w:val="22"/>
            <w:szCs w:val="22"/>
            <w:u w:val="single"/>
          </w:rPr>
          <w:t>https://www.hhs.gov/civil-rights/for-individuals/nondiscrimination/index.html</w:t>
        </w:r>
      </w:hyperlink>
      <w:r>
        <w:rPr>
          <w:rFonts w:ascii="Arial" w:eastAsia="Arial" w:hAnsi="Arial" w:cs="Arial"/>
          <w:sz w:val="22"/>
          <w:szCs w:val="22"/>
        </w:rPr>
        <w:t>.</w:t>
      </w:r>
    </w:p>
    <w:p w14:paraId="7C082B75" w14:textId="77777777" w:rsidR="006E2466" w:rsidRDefault="00000000">
      <w:pPr>
        <w:keepNext/>
        <w:spacing w:before="240" w:line="252" w:lineRule="auto"/>
        <w:ind w:left="1" w:hanging="3"/>
        <w:rPr>
          <w:rFonts w:ascii="Arial" w:eastAsia="Arial" w:hAnsi="Arial" w:cs="Arial"/>
          <w:sz w:val="32"/>
          <w:szCs w:val="32"/>
        </w:rPr>
      </w:pPr>
      <w:r>
        <w:rPr>
          <w:rFonts w:ascii="Arial" w:eastAsia="Arial" w:hAnsi="Arial" w:cs="Arial"/>
          <w:b/>
          <w:sz w:val="32"/>
          <w:szCs w:val="32"/>
        </w:rPr>
        <w:t>Instructions for Obtaining Continuing Education (CE)</w:t>
      </w:r>
    </w:p>
    <w:p w14:paraId="6078205D" w14:textId="77777777" w:rsidR="006E2466" w:rsidRDefault="006E2466">
      <w:pPr>
        <w:ind w:left="0" w:hanging="2"/>
        <w:rPr>
          <w:rFonts w:ascii="Arial" w:eastAsia="Arial" w:hAnsi="Arial" w:cs="Arial"/>
          <w:sz w:val="22"/>
          <w:szCs w:val="22"/>
        </w:rPr>
      </w:pPr>
    </w:p>
    <w:p w14:paraId="7B7E692C" w14:textId="797BE49E" w:rsidR="006E2466" w:rsidRDefault="00000000">
      <w:pPr>
        <w:ind w:left="0" w:hanging="2"/>
        <w:rPr>
          <w:rFonts w:ascii="Arial" w:eastAsia="Arial" w:hAnsi="Arial" w:cs="Arial"/>
        </w:rPr>
      </w:pPr>
      <w:bookmarkStart w:id="0" w:name="_heading=h.nyzoq22n9d3w" w:colFirst="0" w:colLast="0"/>
      <w:bookmarkEnd w:id="0"/>
      <w:r>
        <w:rPr>
          <w:rFonts w:ascii="Arial" w:eastAsia="Arial" w:hAnsi="Arial" w:cs="Arial"/>
        </w:rPr>
        <w:t xml:space="preserve">To receive continuing education (CE) for </w:t>
      </w:r>
      <w:r>
        <w:rPr>
          <w:rFonts w:ascii="Arial" w:eastAsia="Arial" w:hAnsi="Arial" w:cs="Arial"/>
          <w:b/>
        </w:rPr>
        <w:t>[CM4932]-[Wyoming Immunization Conference]</w:t>
      </w:r>
      <w:r>
        <w:rPr>
          <w:rFonts w:ascii="Arial" w:eastAsia="Arial" w:hAnsi="Arial" w:cs="Arial"/>
        </w:rPr>
        <w:t xml:space="preserve">, please visit </w:t>
      </w:r>
      <w:hyperlink r:id="rId10">
        <w:r>
          <w:rPr>
            <w:rFonts w:ascii="Arial" w:eastAsia="Arial" w:hAnsi="Arial" w:cs="Arial"/>
            <w:color w:val="0000FF"/>
            <w:u w:val="single"/>
          </w:rPr>
          <w:t>CDC TRAIN</w:t>
        </w:r>
      </w:hyperlink>
      <w:r>
        <w:rPr>
          <w:rFonts w:ascii="Arial" w:eastAsia="Arial" w:hAnsi="Arial" w:cs="Arial"/>
          <w:color w:val="1F497D"/>
        </w:rPr>
        <w:t xml:space="preserve"> </w:t>
      </w:r>
      <w:r>
        <w:rPr>
          <w:rFonts w:ascii="Arial" w:eastAsia="Arial" w:hAnsi="Arial" w:cs="Arial"/>
        </w:rPr>
        <w:t>and</w:t>
      </w:r>
      <w:r>
        <w:rPr>
          <w:rFonts w:ascii="Arial" w:eastAsia="Arial" w:hAnsi="Arial" w:cs="Arial"/>
          <w:color w:val="1F497D"/>
        </w:rPr>
        <w:t xml:space="preserve"> </w:t>
      </w:r>
      <w:r>
        <w:rPr>
          <w:rFonts w:ascii="Arial" w:eastAsia="Arial" w:hAnsi="Arial" w:cs="Arial"/>
        </w:rPr>
        <w:t xml:space="preserve">search for the course in the Course Catalog using </w:t>
      </w:r>
      <w:r>
        <w:rPr>
          <w:rFonts w:ascii="Arial" w:eastAsia="Arial" w:hAnsi="Arial" w:cs="Arial"/>
          <w:b/>
        </w:rPr>
        <w:t>[CM4932]</w:t>
      </w:r>
      <w:r>
        <w:rPr>
          <w:rFonts w:ascii="Arial" w:eastAsia="Arial" w:hAnsi="Arial" w:cs="Arial"/>
        </w:rPr>
        <w:t xml:space="preserve">. Follow the steps below by </w:t>
      </w:r>
      <w:r>
        <w:rPr>
          <w:rFonts w:ascii="Arial" w:eastAsia="Arial" w:hAnsi="Arial" w:cs="Arial"/>
          <w:b/>
        </w:rPr>
        <w:t>[July 18, 2025]</w:t>
      </w:r>
      <w:r>
        <w:rPr>
          <w:rFonts w:ascii="Arial" w:eastAsia="Arial" w:hAnsi="Arial" w:cs="Arial"/>
        </w:rPr>
        <w:t>.</w:t>
      </w:r>
    </w:p>
    <w:p w14:paraId="3B95B193" w14:textId="77777777" w:rsidR="006E2466" w:rsidRDefault="006E2466">
      <w:pPr>
        <w:ind w:left="0" w:hanging="2"/>
        <w:rPr>
          <w:rFonts w:ascii="Arial" w:eastAsia="Arial" w:hAnsi="Arial" w:cs="Arial"/>
        </w:rPr>
      </w:pPr>
    </w:p>
    <w:p w14:paraId="78CA2027" w14:textId="77777777" w:rsidR="006E2466" w:rsidRDefault="00000000">
      <w:pPr>
        <w:numPr>
          <w:ilvl w:val="0"/>
          <w:numId w:val="2"/>
        </w:numPr>
        <w:ind w:left="0" w:hanging="2"/>
        <w:rPr>
          <w:rFonts w:ascii="Arial" w:eastAsia="Arial" w:hAnsi="Arial" w:cs="Arial"/>
        </w:rPr>
      </w:pPr>
      <w:r>
        <w:rPr>
          <w:rFonts w:ascii="Arial" w:eastAsia="Arial" w:hAnsi="Arial" w:cs="Arial"/>
        </w:rPr>
        <w:t>Register for and complete the course.</w:t>
      </w:r>
    </w:p>
    <w:p w14:paraId="7D406A81" w14:textId="77777777" w:rsidR="006E2466" w:rsidRDefault="00000000">
      <w:pPr>
        <w:numPr>
          <w:ilvl w:val="0"/>
          <w:numId w:val="2"/>
        </w:numPr>
        <w:ind w:left="0" w:hanging="2"/>
        <w:rPr>
          <w:rFonts w:ascii="Arial" w:eastAsia="Arial" w:hAnsi="Arial" w:cs="Arial"/>
        </w:rPr>
      </w:pPr>
      <w:r>
        <w:rPr>
          <w:rFonts w:ascii="Arial" w:eastAsia="Arial" w:hAnsi="Arial" w:cs="Arial"/>
        </w:rPr>
        <w:t>Complete the evaluation.</w:t>
      </w:r>
    </w:p>
    <w:p w14:paraId="2B42DE43" w14:textId="77777777" w:rsidR="006E2466" w:rsidRDefault="00000000">
      <w:pPr>
        <w:numPr>
          <w:ilvl w:val="0"/>
          <w:numId w:val="2"/>
        </w:numPr>
        <w:ind w:left="0" w:hanging="2"/>
        <w:rPr>
          <w:rFonts w:ascii="Arial" w:eastAsia="Arial" w:hAnsi="Arial" w:cs="Arial"/>
        </w:rPr>
      </w:pPr>
      <w:r>
        <w:rPr>
          <w:rFonts w:ascii="Arial" w:eastAsia="Arial" w:hAnsi="Arial" w:cs="Arial"/>
        </w:rPr>
        <w:t>Visit Your Learning to access your certificates and transcript.</w:t>
      </w:r>
    </w:p>
    <w:p w14:paraId="3F556C82" w14:textId="77777777" w:rsidR="006E2466" w:rsidRDefault="00000000">
      <w:pPr>
        <w:ind w:left="0" w:hanging="2"/>
        <w:rPr>
          <w:rFonts w:ascii="Arial" w:eastAsia="Arial" w:hAnsi="Arial" w:cs="Arial"/>
          <w:color w:val="FF0000"/>
          <w:highlight w:val="yellow"/>
        </w:rPr>
      </w:pPr>
      <w:r>
        <w:rPr>
          <w:rFonts w:ascii="Arial" w:eastAsia="Arial" w:hAnsi="Arial" w:cs="Arial"/>
          <w:b/>
        </w:rPr>
        <w:t> </w:t>
      </w:r>
    </w:p>
    <w:p w14:paraId="4B308B98" w14:textId="77777777" w:rsidR="006E2466" w:rsidRDefault="00000000">
      <w:pPr>
        <w:ind w:left="0" w:hanging="2"/>
        <w:rPr>
          <w:rFonts w:ascii="Arial" w:eastAsia="Arial" w:hAnsi="Arial" w:cs="Arial"/>
        </w:rPr>
      </w:pPr>
      <w:r>
        <w:rPr>
          <w:rFonts w:ascii="Arial" w:eastAsia="Arial" w:hAnsi="Arial" w:cs="Arial"/>
        </w:rPr>
        <w:lastRenderedPageBreak/>
        <w:t xml:space="preserve">The registration code is </w:t>
      </w:r>
      <w:r>
        <w:rPr>
          <w:rFonts w:ascii="Arial" w:eastAsia="Arial" w:hAnsi="Arial" w:cs="Arial"/>
          <w:b/>
        </w:rPr>
        <w:t>WYVAX25</w:t>
      </w:r>
    </w:p>
    <w:p w14:paraId="2068344A" w14:textId="77777777" w:rsidR="006E2466" w:rsidRDefault="006E2466">
      <w:pPr>
        <w:spacing w:line="276" w:lineRule="auto"/>
        <w:ind w:left="0" w:hanging="2"/>
        <w:rPr>
          <w:rFonts w:ascii="Arial" w:eastAsia="Arial" w:hAnsi="Arial" w:cs="Arial"/>
        </w:rPr>
      </w:pPr>
    </w:p>
    <w:p w14:paraId="58AACE34" w14:textId="77777777" w:rsidR="006E2466" w:rsidRDefault="00000000">
      <w:pPr>
        <w:spacing w:line="276" w:lineRule="auto"/>
        <w:ind w:left="0" w:hanging="2"/>
        <w:rPr>
          <w:rFonts w:ascii="Arial" w:eastAsia="Arial" w:hAnsi="Arial" w:cs="Arial"/>
        </w:rPr>
      </w:pPr>
      <w:r>
        <w:rPr>
          <w:rFonts w:ascii="Arial" w:eastAsia="Arial" w:hAnsi="Arial" w:cs="Arial"/>
          <w:b/>
          <w:color w:val="000000"/>
        </w:rPr>
        <w:t>FEE</w:t>
      </w:r>
      <w:r>
        <w:rPr>
          <w:rFonts w:ascii="Arial" w:eastAsia="Arial" w:hAnsi="Arial" w:cs="Arial"/>
          <w:b/>
        </w:rPr>
        <w:t>S:</w:t>
      </w:r>
      <w:r>
        <w:rPr>
          <w:rFonts w:ascii="Arial" w:eastAsia="Arial" w:hAnsi="Arial" w:cs="Arial"/>
        </w:rPr>
        <w:t xml:space="preserve"> </w:t>
      </w:r>
      <w:r>
        <w:rPr>
          <w:rFonts w:ascii="Arial" w:eastAsia="Arial" w:hAnsi="Arial" w:cs="Arial"/>
          <w:b/>
        </w:rPr>
        <w:t>There are no fees for CE</w:t>
      </w:r>
      <w:r>
        <w:rPr>
          <w:rFonts w:ascii="Arial" w:eastAsia="Arial" w:hAnsi="Arial" w:cs="Arial"/>
        </w:rPr>
        <w:t>.</w:t>
      </w:r>
    </w:p>
    <w:sectPr w:rsidR="006E24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BECB" w14:textId="77777777" w:rsidR="00683164" w:rsidRDefault="00683164">
      <w:pPr>
        <w:spacing w:line="240" w:lineRule="auto"/>
        <w:ind w:left="0" w:hanging="2"/>
      </w:pPr>
      <w:r>
        <w:separator/>
      </w:r>
    </w:p>
  </w:endnote>
  <w:endnote w:type="continuationSeparator" w:id="0">
    <w:p w14:paraId="4650278F" w14:textId="77777777" w:rsidR="00683164" w:rsidRDefault="0068316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D52E" w14:textId="77777777" w:rsidR="006E2466" w:rsidRDefault="006E2466">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2B8C" w14:textId="77777777" w:rsidR="006E2466" w:rsidRDefault="006E2466">
    <w:pPr>
      <w:pBdr>
        <w:top w:val="nil"/>
        <w:left w:val="nil"/>
        <w:bottom w:val="nil"/>
        <w:right w:val="nil"/>
        <w:between w:val="nil"/>
      </w:pBdr>
      <w:spacing w:line="240" w:lineRule="auto"/>
      <w:ind w:left="0" w:hanging="2"/>
      <w:rPr>
        <w:rFonts w:ascii="Calibri" w:eastAsia="Calibri" w:hAnsi="Calibri" w:cs="Calibri"/>
        <w:color w:val="000000"/>
        <w:sz w:val="18"/>
        <w:szCs w:val="18"/>
      </w:rPr>
    </w:pPr>
  </w:p>
  <w:p w14:paraId="643E82D5" w14:textId="77777777" w:rsidR="006E2466" w:rsidRDefault="00000000">
    <w:pPr>
      <w:pBdr>
        <w:top w:val="nil"/>
        <w:left w:val="nil"/>
        <w:bottom w:val="nil"/>
        <w:right w:val="nil"/>
        <w:between w:val="nil"/>
      </w:pBdr>
      <w:spacing w:line="240" w:lineRule="auto"/>
      <w:ind w:left="0" w:hanging="2"/>
      <w:rPr>
        <w:color w:val="000000"/>
        <w:sz w:val="20"/>
        <w:szCs w:val="20"/>
      </w:rPr>
    </w:pPr>
    <w:r>
      <w:rPr>
        <w:rFonts w:ascii="Calibri" w:eastAsia="Calibri" w:hAnsi="Calibri" w:cs="Calibri"/>
        <w:color w:val="000000"/>
        <w:sz w:val="20"/>
        <w:szCs w:val="20"/>
      </w:rPr>
      <w:t>Version 12/2023</w:t>
    </w:r>
    <w:r>
      <w:rPr>
        <w:rFonts w:ascii="Calibri" w:eastAsia="Calibri" w:hAnsi="Calibri" w:cs="Calibri"/>
        <w:color w:val="000000"/>
        <w:sz w:val="20"/>
        <w:szCs w:val="20"/>
      </w:rPr>
      <w:tab/>
    </w:r>
    <w:r>
      <w:rPr>
        <w:rFonts w:ascii="Calibri" w:eastAsia="Calibri" w:hAnsi="Calibri" w:cs="Calibri"/>
        <w:color w:val="000000"/>
        <w:sz w:val="20"/>
        <w:szCs w:val="20"/>
      </w:rPr>
      <w:tab/>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3647AD">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3647AD">
      <w:rPr>
        <w:rFonts w:ascii="Calibri" w:eastAsia="Calibri" w:hAnsi="Calibri" w:cs="Calibri"/>
        <w:b/>
        <w:noProof/>
        <w:color w:val="000000"/>
        <w:sz w:val="20"/>
        <w:szCs w:val="20"/>
      </w:rPr>
      <w:t>2</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w:t>
    </w:r>
  </w:p>
  <w:p w14:paraId="4D2E11A6" w14:textId="77777777" w:rsidR="006E2466" w:rsidRDefault="00000000">
    <w:pPr>
      <w:ind w:left="0" w:hanging="2"/>
      <w:jc w:val="right"/>
      <w:rPr>
        <w:rFonts w:ascii="Calibri" w:eastAsia="Calibri" w:hAnsi="Calibri" w:cs="Calibri"/>
        <w:sz w:val="22"/>
        <w:szCs w:val="22"/>
      </w:rPr>
    </w:pPr>
    <w:r>
      <w:rPr>
        <w:rFonts w:ascii="Calibri" w:eastAsia="Calibri" w:hAnsi="Calibri" w:cs="Calibri"/>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080F" w14:textId="77777777" w:rsidR="006E2466" w:rsidRDefault="00000000">
    <w:pPr>
      <w:pBdr>
        <w:top w:val="nil"/>
        <w:left w:val="nil"/>
        <w:bottom w:val="nil"/>
        <w:right w:val="nil"/>
        <w:between w:val="nil"/>
      </w:pBdr>
      <w:tabs>
        <w:tab w:val="center" w:pos="7200"/>
        <w:tab w:val="right" w:pos="1020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noProof/>
      </w:rPr>
      <w:drawing>
        <wp:anchor distT="0" distB="0" distL="0" distR="0" simplePos="0" relativeHeight="251658240" behindDoc="1" locked="0" layoutInCell="1" hidden="0" allowOverlap="1" wp14:anchorId="04121EDE" wp14:editId="4636DB0E">
          <wp:simplePos x="0" y="0"/>
          <wp:positionH relativeFrom="column">
            <wp:posOffset>-593087</wp:posOffset>
          </wp:positionH>
          <wp:positionV relativeFrom="paragraph">
            <wp:posOffset>0</wp:posOffset>
          </wp:positionV>
          <wp:extent cx="7204075" cy="855345"/>
          <wp:effectExtent l="0" t="0" r="0" b="0"/>
          <wp:wrapNone/>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04075" cy="855345"/>
                  </a:xfrm>
                  <a:prstGeom prst="rect">
                    <a:avLst/>
                  </a:prstGeom>
                  <a:ln/>
                </pic:spPr>
              </pic:pic>
            </a:graphicData>
          </a:graphic>
        </wp:anchor>
      </w:drawing>
    </w:r>
  </w:p>
  <w:p w14:paraId="48F910E0" w14:textId="77777777" w:rsidR="006E2466" w:rsidRDefault="006E2466">
    <w:pPr>
      <w:pBdr>
        <w:top w:val="nil"/>
        <w:left w:val="nil"/>
        <w:bottom w:val="nil"/>
        <w:right w:val="nil"/>
        <w:between w:val="nil"/>
      </w:pBdr>
      <w:tabs>
        <w:tab w:val="center" w:pos="7200"/>
        <w:tab w:val="right" w:pos="10200"/>
      </w:tabs>
      <w:spacing w:line="240" w:lineRule="auto"/>
      <w:ind w:left="0" w:hanging="2"/>
      <w:rPr>
        <w:rFonts w:ascii="Calibri" w:eastAsia="Calibri" w:hAnsi="Calibri" w:cs="Calibri"/>
        <w:color w:val="000000"/>
        <w:sz w:val="20"/>
        <w:szCs w:val="20"/>
      </w:rPr>
    </w:pPr>
  </w:p>
  <w:p w14:paraId="16092AA8" w14:textId="77777777" w:rsidR="006E2466" w:rsidRDefault="00000000">
    <w:pPr>
      <w:pBdr>
        <w:top w:val="nil"/>
        <w:left w:val="nil"/>
        <w:bottom w:val="nil"/>
        <w:right w:val="nil"/>
        <w:between w:val="nil"/>
      </w:pBdr>
      <w:tabs>
        <w:tab w:val="center" w:pos="7200"/>
        <w:tab w:val="right" w:pos="10200"/>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Updated: 12.27.2017                                                                            </w:t>
    </w:r>
    <w:r>
      <w:rPr>
        <w:rFonts w:ascii="Calibri" w:eastAsia="Calibri" w:hAnsi="Calibri" w:cs="Calibri"/>
        <w:color w:val="000000"/>
        <w:sz w:val="20"/>
        <w:szCs w:val="20"/>
      </w:rPr>
      <w:tab/>
    </w:r>
    <w:r>
      <w:rPr>
        <w:rFonts w:ascii="Calibri" w:eastAsia="Calibri" w:hAnsi="Calibri" w:cs="Calibri"/>
        <w:color w:val="000000"/>
        <w:sz w:val="20"/>
        <w:szCs w:val="20"/>
      </w:rPr>
      <w:tab/>
      <w:t xml:space="preserve">    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38E0" w14:textId="77777777" w:rsidR="00683164" w:rsidRDefault="00683164">
      <w:pPr>
        <w:spacing w:line="240" w:lineRule="auto"/>
        <w:ind w:left="0" w:hanging="2"/>
      </w:pPr>
      <w:r>
        <w:separator/>
      </w:r>
    </w:p>
  </w:footnote>
  <w:footnote w:type="continuationSeparator" w:id="0">
    <w:p w14:paraId="3FEBD3F9" w14:textId="77777777" w:rsidR="00683164" w:rsidRDefault="0068316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1CA2" w14:textId="77777777" w:rsidR="006E2466" w:rsidRDefault="006E2466">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8113" w14:textId="77777777" w:rsidR="006E2466" w:rsidRDefault="006E2466">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08F2" w14:textId="77777777" w:rsidR="006E2466" w:rsidRDefault="006E2466">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7559F"/>
    <w:multiLevelType w:val="multilevel"/>
    <w:tmpl w:val="DBA018E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0C94EEF"/>
    <w:multiLevelType w:val="multilevel"/>
    <w:tmpl w:val="FDE867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99993448">
    <w:abstractNumId w:val="0"/>
  </w:num>
  <w:num w:numId="2" w16cid:durableId="79672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66"/>
    <w:rsid w:val="003647AD"/>
    <w:rsid w:val="00683164"/>
    <w:rsid w:val="006E2466"/>
    <w:rsid w:val="00B6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BAC5"/>
  <w15:docId w15:val="{2D22AB2E-1488-4DAA-85C7-A36A234C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paragraph" w:styleId="Header">
    <w:name w:val="header"/>
    <w:basedOn w:val="Normal"/>
    <w:qFormat/>
  </w:style>
  <w:style w:type="character" w:customStyle="1" w:styleId="HeaderChar">
    <w:name w:val="Header Char"/>
    <w:rPr>
      <w:rFonts w:ascii="Times New Roman" w:hAnsi="Times New Roman"/>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rFonts w:ascii="Times New Roman" w:hAnsi="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hAnsi="Times New Roman"/>
      <w:b/>
      <w:bCs/>
      <w:w w:val="100"/>
      <w:position w:val="-1"/>
      <w:effect w:val="none"/>
      <w:vertAlign w:val="baseline"/>
      <w:cs w:val="0"/>
      <w:em w:val="none"/>
    </w:rPr>
  </w:style>
  <w:style w:type="paragraph" w:customStyle="1" w:styleId="Seperator4">
    <w:name w:val="Seperator4"/>
    <w:pPr>
      <w:suppressAutoHyphens/>
      <w:spacing w:line="1" w:lineRule="atLeast"/>
      <w:ind w:leftChars="-1" w:left="-1" w:hangingChars="1"/>
      <w:textDirection w:val="btLr"/>
      <w:textAlignment w:val="top"/>
      <w:outlineLvl w:val="0"/>
    </w:pPr>
    <w:rPr>
      <w:rFonts w:ascii="Arial" w:hAnsi="Arial" w:cs="Arial"/>
      <w:noProof/>
      <w:position w:val="-1"/>
      <w:sz w:val="8"/>
      <w:szCs w:val="8"/>
    </w:rPr>
  </w:style>
  <w:style w:type="character" w:styleId="PageNumber">
    <w:name w:val="page number"/>
    <w:rPr>
      <w:w w:val="100"/>
      <w:position w:val="-1"/>
      <w:effect w:val="none"/>
      <w:vertAlign w:val="baseline"/>
      <w:cs w:val="0"/>
      <w:em w:val="none"/>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character" w:styleId="Strong">
    <w:name w:val="Strong"/>
    <w:rPr>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character" w:styleId="FollowedHyperlink">
    <w:name w:val="FollowedHyperlink"/>
    <w:qFormat/>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rain.org/cdctrain/welcome" TargetMode="External"/><Relationship Id="rId4" Type="http://schemas.openxmlformats.org/officeDocument/2006/relationships/settings" Target="settings.xml"/><Relationship Id="rId9" Type="http://schemas.openxmlformats.org/officeDocument/2006/relationships/hyperlink" Target="https://www.hhs.gov/civil-rights/for-individuals/nondiscrimination/index.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yfeXmza1It8ayLQQ6OA2Ru9H5g==">CgMxLjAyDmgubnl6b3EyMm45ZDN3OAByITFhSlB2VUJfc2dldGV3Q0NIeGZXaW5UN19mSE53b2V0VA==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blr4</dc:creator>
  <cp:lastModifiedBy>Gunasegaran, Saikrishnapriya (CDC/PHIC/DWD) (CTR)</cp:lastModifiedBy>
  <cp:revision>2</cp:revision>
  <dcterms:created xsi:type="dcterms:W3CDTF">2025-06-02T17:12:00Z</dcterms:created>
  <dcterms:modified xsi:type="dcterms:W3CDTF">2025-06-02T17:12:00Z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af03ff0-41c5-4c41-b55e-fabb8fae94be_Enabled">
    <vt:lpwstr>true</vt:lpwstr>
  </property>
  <property fmtid="{D5CDD505-2E9C-101B-9397-08002B2CF9AE}" pid="4" name="MSIP_Label_8af03ff0-41c5-4c41-b55e-fabb8fae94be_SetDate">
    <vt:lpwstr>2021-09-07T19:03:36Z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6671a6b2-df50-4670-bc61-5b6ba5effdf1</vt:lpwstr>
  </property>
  <property fmtid="{D5CDD505-2E9C-101B-9397-08002B2CF9AE}" pid="9" name="MSIP_Label_8af03ff0-41c5-4c41-b55e-fabb8fae94be_ContentBits">
    <vt:lpwstr>0</vt:lpwstr>
  </property>
</Properties>
</file>