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widowControl w:val="0"/>
        <w:spacing w:after="0" w:lineRule="auto"/>
        <w:ind w:right="-180"/>
        <w:rPr>
          <w:rFonts w:ascii="Arial" w:cs="Arial" w:eastAsia="Arial" w:hAnsi="Arial"/>
          <w:sz w:val="24"/>
          <w:szCs w:val="24"/>
        </w:rPr>
      </w:pPr>
      <w:r w:rsidDel="00000000" w:rsidR="00000000" w:rsidRPr="00000000">
        <w:rPr>
          <w:rtl w:val="0"/>
        </w:rPr>
      </w:r>
    </w:p>
    <w:tbl>
      <w:tblPr>
        <w:tblStyle w:val="Table1"/>
        <w:tblW w:w="10725.0" w:type="dxa"/>
        <w:jc w:val="left"/>
        <w:tblInd w:w="175.0" w:type="dxa"/>
        <w:tblBorders>
          <w:top w:color="632423" w:space="0" w:sz="4" w:val="single"/>
          <w:left w:color="632423" w:space="0" w:sz="4" w:val="single"/>
          <w:bottom w:color="632423" w:space="0" w:sz="4" w:val="single"/>
          <w:right w:color="632423" w:space="0" w:sz="4" w:val="single"/>
          <w:insideH w:color="632423" w:space="0" w:sz="4" w:val="single"/>
          <w:insideV w:color="632423" w:space="0" w:sz="4" w:val="single"/>
        </w:tblBorders>
        <w:tblLayout w:type="fixed"/>
        <w:tblLook w:val="0400"/>
      </w:tblPr>
      <w:tblGrid>
        <w:gridCol w:w="2070"/>
        <w:gridCol w:w="3780"/>
        <w:gridCol w:w="1350"/>
        <w:gridCol w:w="3525"/>
        <w:tblGridChange w:id="0">
          <w:tblGrid>
            <w:gridCol w:w="2070"/>
            <w:gridCol w:w="3780"/>
            <w:gridCol w:w="1350"/>
            <w:gridCol w:w="3525"/>
          </w:tblGrid>
        </w:tblGridChange>
      </w:tblGrid>
      <w:tr>
        <w:trPr>
          <w:cantSplit w:val="0"/>
          <w:trHeight w:val="540" w:hRule="atLeast"/>
          <w:tblHeader w:val="0"/>
        </w:trPr>
        <w:tc>
          <w:tcPr>
            <w:gridSpan w:val="4"/>
            <w:shd w:fill="632423" w:val="clear"/>
          </w:tcPr>
          <w:bookmarkStart w:colFirst="0" w:colLast="0" w:name="bookmark=id.gjdgxs" w:id="0"/>
          <w:bookmarkEnd w:id="0"/>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b w:val="1"/>
                <w:color w:val="ffc000"/>
                <w:sz w:val="24"/>
                <w:szCs w:val="24"/>
                <w:rtl w:val="0"/>
              </w:rPr>
              <w:t xml:space="preserve">Council Meeting Minutes</w:t>
            </w:r>
            <w:r w:rsidDel="00000000" w:rsidR="00000000" w:rsidRPr="00000000">
              <w:rPr>
                <w:rtl w:val="0"/>
              </w:rPr>
            </w:r>
          </w:p>
        </w:tc>
      </w:tr>
      <w:tr>
        <w:trPr>
          <w:cantSplit w:val="0"/>
          <w:tblHeader w:val="0"/>
        </w:trPr>
        <w:tc>
          <w:tcPr>
            <w:shd w:fill="f2dcdb" w:val="clear"/>
          </w:tcPr>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Meeting</w:t>
            </w:r>
            <w:r w:rsidDel="00000000" w:rsidR="00000000" w:rsidRPr="00000000">
              <w:rPr>
                <w:rtl w:val="0"/>
              </w:rPr>
            </w:r>
          </w:p>
        </w:tc>
        <w:tc>
          <w:tcPr/>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Wyoming Early Intervention Council</w:t>
            </w:r>
          </w:p>
        </w:tc>
        <w:tc>
          <w:tcPr>
            <w:shd w:fill="f2dcdb" w:val="clear"/>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w:t>
            </w:r>
            <w:r w:rsidDel="00000000" w:rsidR="00000000" w:rsidRPr="00000000">
              <w:rPr>
                <w:rtl w:val="0"/>
              </w:rPr>
            </w:r>
          </w:p>
        </w:tc>
        <w:tc>
          <w:tcPr/>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July 17, 2024</w:t>
            </w:r>
          </w:p>
        </w:tc>
      </w:tr>
      <w:tr>
        <w:trPr>
          <w:cantSplit w:val="0"/>
          <w:tblHeader w:val="0"/>
        </w:trPr>
        <w:tc>
          <w:tcPr>
            <w:shd w:fill="f2dcdb" w:val="clear"/>
          </w:tcPr>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Chair/Facilitator</w:t>
            </w:r>
            <w:r w:rsidDel="00000000" w:rsidR="00000000" w:rsidRPr="00000000">
              <w:rPr>
                <w:rtl w:val="0"/>
              </w:rPr>
            </w:r>
          </w:p>
        </w:tc>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Amy Reyes</w:t>
            </w:r>
          </w:p>
        </w:tc>
        <w:tc>
          <w:tcPr>
            <w:shd w:fill="f2dcdb" w:val="clear"/>
          </w:tcPr>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Time</w:t>
            </w:r>
            <w:r w:rsidDel="00000000" w:rsidR="00000000" w:rsidRPr="00000000">
              <w:rPr>
                <w:rtl w:val="0"/>
              </w:rPr>
            </w:r>
          </w:p>
        </w:tc>
        <w:tc>
          <w:tcPr/>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8:30am</w:t>
            </w:r>
          </w:p>
        </w:tc>
      </w:tr>
      <w:tr>
        <w:trPr>
          <w:cantSplit w:val="0"/>
          <w:tblHeader w:val="0"/>
        </w:trPr>
        <w:tc>
          <w:tcPr>
            <w:shd w:fill="f2dcdb" w:val="clear"/>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Location</w:t>
            </w:r>
            <w:r w:rsidDel="00000000" w:rsidR="00000000" w:rsidRPr="00000000">
              <w:rPr>
                <w:rtl w:val="0"/>
              </w:rPr>
            </w:r>
          </w:p>
        </w:tc>
        <w:tc>
          <w:tcPr/>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Evanston, WY</w:t>
            </w:r>
          </w:p>
        </w:tc>
        <w:tc>
          <w:tcPr>
            <w:shd w:fill="f2dcdb" w:val="clear"/>
          </w:tcPr>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Scribe</w:t>
            </w:r>
            <w:r w:rsidDel="00000000" w:rsidR="00000000" w:rsidRPr="00000000">
              <w:rPr>
                <w:rtl w:val="0"/>
              </w:rPr>
            </w:r>
          </w:p>
        </w:tc>
        <w:tc>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Jolene Flores</w:t>
            </w:r>
          </w:p>
        </w:tc>
      </w:tr>
      <w:tr>
        <w:trPr>
          <w:cantSplit w:val="0"/>
          <w:trHeight w:val="710" w:hRule="atLeast"/>
          <w:tblHeader w:val="0"/>
        </w:trPr>
        <w:tc>
          <w:tcPr>
            <w:shd w:fill="f2dcdb" w:val="clear"/>
          </w:tcPr>
          <w:p w:rsidR="00000000" w:rsidDel="00000000" w:rsidP="00000000" w:rsidRDefault="00000000" w:rsidRPr="00000000" w14:paraId="0000001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Members</w:t>
            </w: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In Attendance</w:t>
            </w:r>
            <w:r w:rsidDel="00000000" w:rsidR="00000000" w:rsidRPr="00000000">
              <w:rPr>
                <w:rtl w:val="0"/>
              </w:rPr>
            </w:r>
          </w:p>
        </w:tc>
        <w:tc>
          <w:tcPr>
            <w:gridSpan w:val="3"/>
          </w:tcPr>
          <w:p w:rsidR="00000000" w:rsidDel="00000000" w:rsidP="00000000" w:rsidRDefault="00000000" w:rsidRPr="00000000" w14:paraId="00000017">
            <w:pPr>
              <w:widowControl w:val="0"/>
              <w:spacing w:line="276" w:lineRule="auto"/>
              <w:rPr>
                <w:rFonts w:ascii="Arial" w:cs="Arial" w:eastAsia="Arial" w:hAnsi="Arial"/>
                <w:sz w:val="24"/>
                <w:szCs w:val="24"/>
              </w:rPr>
            </w:pPr>
            <w:r w:rsidDel="00000000" w:rsidR="00000000" w:rsidRPr="00000000">
              <w:rPr>
                <w:rtl w:val="0"/>
              </w:rPr>
            </w:r>
          </w:p>
          <w:tbl>
            <w:tblPr>
              <w:tblStyle w:val="Table2"/>
              <w:tblW w:w="8220.0" w:type="dxa"/>
              <w:jc w:val="left"/>
              <w:tblLayout w:type="fixed"/>
              <w:tblLook w:val="0400"/>
            </w:tblPr>
            <w:tblGrid>
              <w:gridCol w:w="1440"/>
              <w:gridCol w:w="1320"/>
              <w:gridCol w:w="2535"/>
              <w:gridCol w:w="2925"/>
              <w:tblGridChange w:id="0">
                <w:tblGrid>
                  <w:gridCol w:w="1440"/>
                  <w:gridCol w:w="1320"/>
                  <w:gridCol w:w="2535"/>
                  <w:gridCol w:w="2925"/>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Last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First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From</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Represents</w:t>
                  </w: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Wagner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Helena</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WDE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Head Start</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Caylor</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Kim</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BHD</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EIEP</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Reyes</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Amy</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WDE</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TANF/Council Chair</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Glantz</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Cari</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UW</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Other</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Rogers</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Sara</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WDH</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Medicaid</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Beastrom</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Jamie</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Weston Co.</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Provider</w:t>
                  </w:r>
                </w:p>
              </w:tc>
            </w:tr>
          </w:tbl>
          <w:p w:rsidR="00000000" w:rsidDel="00000000" w:rsidP="00000000" w:rsidRDefault="00000000" w:rsidRPr="00000000" w14:paraId="00000034">
            <w:pPr>
              <w:rPr>
                <w:rFonts w:ascii="Arial" w:cs="Arial" w:eastAsia="Arial" w:hAnsi="Arial"/>
                <w:sz w:val="24"/>
                <w:szCs w:val="24"/>
              </w:rPr>
            </w:pPr>
            <w:r w:rsidDel="00000000" w:rsidR="00000000" w:rsidRPr="00000000">
              <w:rPr>
                <w:rtl w:val="0"/>
              </w:rPr>
            </w:r>
          </w:p>
        </w:tc>
      </w:tr>
      <w:tr>
        <w:trPr>
          <w:cantSplit w:val="0"/>
          <w:trHeight w:val="937.1191406250002" w:hRule="atLeast"/>
          <w:tblHeader w:val="0"/>
        </w:trPr>
        <w:tc>
          <w:tcPr>
            <w:shd w:fill="f2dcdb" w:val="clear"/>
          </w:tcPr>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Members Absent</w:t>
            </w:r>
            <w:r w:rsidDel="00000000" w:rsidR="00000000" w:rsidRPr="00000000">
              <w:rPr>
                <w:rtl w:val="0"/>
              </w:rPr>
            </w:r>
          </w:p>
        </w:tc>
        <w:tc>
          <w:tcPr>
            <w:gridSpan w:val="3"/>
          </w:tcPr>
          <w:p w:rsidR="00000000" w:rsidDel="00000000" w:rsidP="00000000" w:rsidRDefault="00000000" w:rsidRPr="00000000" w14:paraId="00000038">
            <w:pPr>
              <w:widowControl w:val="0"/>
              <w:spacing w:line="276"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sz w:val="24"/>
                <w:szCs w:val="24"/>
                <w:rtl w:val="0"/>
              </w:rPr>
              <w:t xml:space="preserve">Jennifer Blaylock, Kara Wilcox, Kelli Pedersen, Feliciana Turner, Sara Serelson, Shawna Pena, Ryan Berger, Alisha Rone, Jen Davis, Deana Smith, Natalie Terrell, Shannon Cranmore, Kelly Shepp, Deb Hibbard, Meghan Carroll</w:t>
            </w:r>
          </w:p>
          <w:p w:rsidR="00000000" w:rsidDel="00000000" w:rsidP="00000000" w:rsidRDefault="00000000" w:rsidRPr="00000000" w14:paraId="00000039">
            <w:pPr>
              <w:widowControl w:val="0"/>
              <w:spacing w:line="276" w:lineRule="auto"/>
              <w:rPr>
                <w:rFonts w:ascii="Arial" w:cs="Arial" w:eastAsia="Arial" w:hAnsi="Arial"/>
                <w:sz w:val="24"/>
                <w:szCs w:val="24"/>
              </w:rPr>
            </w:pPr>
            <w:bookmarkStart w:colFirst="0" w:colLast="0" w:name="_heading=h.d3xz4srd0ig5" w:id="2"/>
            <w:bookmarkEnd w:id="2"/>
            <w:r w:rsidDel="00000000" w:rsidR="00000000" w:rsidRPr="00000000">
              <w:rPr>
                <w:rtl w:val="0"/>
              </w:rPr>
            </w:r>
          </w:p>
        </w:tc>
      </w:tr>
      <w:tr>
        <w:trPr>
          <w:cantSplit w:val="0"/>
          <w:trHeight w:val="602" w:hRule="atLeast"/>
          <w:tblHeader w:val="0"/>
        </w:trPr>
        <w:tc>
          <w:tcPr>
            <w:shd w:fill="f2dcdb" w:val="clear"/>
          </w:tcPr>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gridSpan w:val="3"/>
          </w:tcPr>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Jolene Flores</w:t>
            </w:r>
            <w:r w:rsidDel="00000000" w:rsidR="00000000" w:rsidRPr="00000000">
              <w:rPr>
                <w:rtl w:val="0"/>
              </w:rPr>
            </w:r>
          </w:p>
        </w:tc>
      </w:tr>
      <w:tr>
        <w:trPr>
          <w:cantSplit w:val="0"/>
          <w:tblHeader w:val="0"/>
        </w:trPr>
        <w:tc>
          <w:tcPr>
            <w:gridSpan w:val="4"/>
            <w:tcBorders>
              <w:bottom w:color="632423" w:space="0" w:sz="18" w:val="single"/>
            </w:tcBorders>
            <w:shd w:fill="632423" w:val="clear"/>
          </w:tcPr>
          <w:p w:rsidR="00000000" w:rsidDel="00000000" w:rsidP="00000000" w:rsidRDefault="00000000" w:rsidRPr="00000000" w14:paraId="00000040">
            <w:pPr>
              <w:ind w:right="-240"/>
              <w:rPr>
                <w:rFonts w:ascii="Arial" w:cs="Arial" w:eastAsia="Arial" w:hAnsi="Arial"/>
                <w:b w:val="1"/>
                <w:color w:val="ffc000"/>
                <w:sz w:val="24"/>
                <w:szCs w:val="24"/>
              </w:rPr>
            </w:pPr>
            <w:r w:rsidDel="00000000" w:rsidR="00000000" w:rsidRPr="00000000">
              <w:rPr>
                <w:rtl w:val="0"/>
              </w:rPr>
            </w:r>
          </w:p>
          <w:p w:rsidR="00000000" w:rsidDel="00000000" w:rsidP="00000000" w:rsidRDefault="00000000" w:rsidRPr="00000000" w14:paraId="00000041">
            <w:pPr>
              <w:ind w:right="-240"/>
              <w:rPr>
                <w:rFonts w:ascii="Arial" w:cs="Arial" w:eastAsia="Arial" w:hAnsi="Arial"/>
                <w:b w:val="1"/>
                <w:color w:val="ffc000"/>
                <w:sz w:val="24"/>
                <w:szCs w:val="24"/>
              </w:rPr>
            </w:pPr>
            <w:r w:rsidDel="00000000" w:rsidR="00000000" w:rsidRPr="00000000">
              <w:rPr>
                <w:rtl w:val="0"/>
              </w:rPr>
            </w:r>
          </w:p>
          <w:p w:rsidR="00000000" w:rsidDel="00000000" w:rsidP="00000000" w:rsidRDefault="00000000" w:rsidRPr="00000000" w14:paraId="00000042">
            <w:pPr>
              <w:ind w:right="-240"/>
              <w:rPr>
                <w:rFonts w:ascii="Arial" w:cs="Arial" w:eastAsia="Arial" w:hAnsi="Arial"/>
                <w:sz w:val="24"/>
                <w:szCs w:val="24"/>
              </w:rPr>
            </w:pPr>
            <w:r w:rsidDel="00000000" w:rsidR="00000000" w:rsidRPr="00000000">
              <w:rPr>
                <w:rFonts w:ascii="Arial" w:cs="Arial" w:eastAsia="Arial" w:hAnsi="Arial"/>
                <w:b w:val="1"/>
                <w:color w:val="ffc000"/>
                <w:sz w:val="24"/>
                <w:szCs w:val="24"/>
                <w:rtl w:val="0"/>
              </w:rPr>
              <w:t xml:space="preserve">Discussion Items</w:t>
            </w:r>
            <w:r w:rsidDel="00000000" w:rsidR="00000000" w:rsidRPr="00000000">
              <w:rPr>
                <w:rtl w:val="0"/>
              </w:rPr>
            </w:r>
          </w:p>
        </w:tc>
      </w:tr>
      <w:tr>
        <w:trPr>
          <w:cantSplit w:val="0"/>
          <w:trHeight w:val="720" w:hRule="atLeast"/>
          <w:tblHeader w:val="0"/>
        </w:trPr>
        <w:tc>
          <w:tcPr>
            <w:gridSpan w:val="4"/>
            <w:tcBorders>
              <w:top w:color="632423" w:space="0" w:sz="18" w:val="single"/>
              <w:bottom w:color="632423" w:space="0" w:sz="18" w:val="single"/>
            </w:tcBorders>
          </w:tcPr>
          <w:p w:rsidR="00000000" w:rsidDel="00000000" w:rsidP="00000000" w:rsidRDefault="00000000" w:rsidRPr="00000000" w14:paraId="00000046">
            <w:pPr>
              <w:ind w:left="1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July 17, 2024</w:t>
            </w:r>
          </w:p>
          <w:p w:rsidR="00000000" w:rsidDel="00000000" w:rsidP="00000000" w:rsidRDefault="00000000" w:rsidRPr="00000000" w14:paraId="0000004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meeting was called to order at 8:30am by Amy Reyes</w:t>
            </w:r>
            <w:r w:rsidDel="00000000" w:rsidR="00000000" w:rsidRPr="00000000">
              <w:rPr>
                <w:rtl w:val="0"/>
              </w:rPr>
            </w:r>
          </w:p>
          <w:p w:rsidR="00000000" w:rsidDel="00000000" w:rsidP="00000000" w:rsidRDefault="00000000" w:rsidRPr="00000000" w14:paraId="0000004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Reading of the mission by Helena Wagner</w:t>
            </w:r>
            <w:r w:rsidDel="00000000" w:rsidR="00000000" w:rsidRPr="00000000">
              <w:rPr>
                <w:rtl w:val="0"/>
              </w:rPr>
            </w:r>
          </w:p>
          <w:p w:rsidR="00000000" w:rsidDel="00000000" w:rsidP="00000000" w:rsidRDefault="00000000" w:rsidRPr="00000000" w14:paraId="0000004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Reading of the charter by</w:t>
            </w:r>
            <w:r w:rsidDel="00000000" w:rsidR="00000000" w:rsidRPr="00000000">
              <w:rPr>
                <w:rFonts w:ascii="Arial" w:cs="Arial" w:eastAsia="Arial" w:hAnsi="Arial"/>
                <w:sz w:val="24"/>
                <w:szCs w:val="24"/>
                <w:rtl w:val="0"/>
              </w:rPr>
              <w:t xml:space="preserve"> Jamie Beastrom</w:t>
            </w:r>
          </w:p>
          <w:p w:rsidR="00000000" w:rsidDel="00000000" w:rsidP="00000000" w:rsidRDefault="00000000" w:rsidRPr="00000000" w14:paraId="0000004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Self- Introductions and Updates</w:t>
            </w:r>
          </w:p>
          <w:p w:rsidR="00000000" w:rsidDel="00000000" w:rsidP="00000000" w:rsidRDefault="00000000" w:rsidRPr="00000000" w14:paraId="00000050">
            <w:pPr>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Helena Wagner-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Head Start Collaboration Office Director, Wyoming Department of Education– Provider and Directors attended special education conferences allowing opportunities for networking and gathering quality information. The Office of Headstart proposed new rules that should be finalized in August. </w:t>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Sara Rogers: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Benefits Management Administrator, </w:t>
            </w:r>
            <w:r w:rsidDel="00000000" w:rsidR="00000000" w:rsidRPr="00000000">
              <w:rPr>
                <w:rFonts w:ascii="Arial" w:cs="Arial" w:eastAsia="Arial" w:hAnsi="Arial"/>
                <w:color w:val="000000"/>
                <w:sz w:val="24"/>
                <w:szCs w:val="24"/>
                <w:rtl w:val="0"/>
              </w:rPr>
              <w:t xml:space="preserve">Department of Health, Medicaid</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Implemented Behavioral Health </w:t>
            </w:r>
            <w:r w:rsidDel="00000000" w:rsidR="00000000" w:rsidRPr="00000000">
              <w:rPr>
                <w:rFonts w:ascii="Arial" w:cs="Arial" w:eastAsia="Arial" w:hAnsi="Arial"/>
                <w:sz w:val="24"/>
                <w:szCs w:val="24"/>
                <w:rtl w:val="0"/>
              </w:rPr>
              <w:t xml:space="preserve">redesign</w:t>
            </w:r>
            <w:r w:rsidDel="00000000" w:rsidR="00000000" w:rsidRPr="00000000">
              <w:rPr>
                <w:rFonts w:ascii="Arial" w:cs="Arial" w:eastAsia="Arial" w:hAnsi="Arial"/>
                <w:color w:val="000000"/>
                <w:sz w:val="24"/>
                <w:szCs w:val="24"/>
                <w:rtl w:val="0"/>
              </w:rPr>
              <w:t xml:space="preserve"> project</w:t>
            </w:r>
            <w:r w:rsidDel="00000000" w:rsidR="00000000" w:rsidRPr="00000000">
              <w:rPr>
                <w:rFonts w:ascii="Arial" w:cs="Arial" w:eastAsia="Arial" w:hAnsi="Arial"/>
                <w:sz w:val="24"/>
                <w:szCs w:val="24"/>
                <w:rtl w:val="0"/>
              </w:rPr>
              <w:t xml:space="preserve">. Contracted with a vendor to conduct text campaigns for active medicaid clients</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Cari Glantz:</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Senior Project Coordinator, </w:t>
            </w:r>
            <w:r w:rsidDel="00000000" w:rsidR="00000000" w:rsidRPr="00000000">
              <w:rPr>
                <w:rFonts w:ascii="Arial" w:cs="Arial" w:eastAsia="Arial" w:hAnsi="Arial"/>
                <w:color w:val="000000"/>
                <w:sz w:val="24"/>
                <w:szCs w:val="24"/>
                <w:rtl w:val="0"/>
              </w:rPr>
              <w:t xml:space="preserve">Wyoming Institute for Disabilities, UW</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Planning </w:t>
            </w:r>
            <w:r w:rsidDel="00000000" w:rsidR="00000000" w:rsidRPr="00000000">
              <w:rPr>
                <w:rFonts w:ascii="Arial" w:cs="Arial" w:eastAsia="Arial" w:hAnsi="Arial"/>
                <w:sz w:val="24"/>
                <w:szCs w:val="24"/>
                <w:rtl w:val="0"/>
              </w:rPr>
              <w:t xml:space="preserve">Project ECHO fall and spring sessions.Partnering with Act Early Ambassadors in Ohio and Virginia to conduct another Act Early ECHO learning series. Early Childhood ECHO series focusing on behavior supports. Upcoming Early Childhood Vision screening training.</w:t>
            </w:r>
            <w:r w:rsidDel="00000000" w:rsidR="00000000" w:rsidRPr="00000000">
              <w:rPr>
                <w:rtl w:val="0"/>
              </w:rPr>
            </w:r>
          </w:p>
          <w:p w:rsidR="00000000" w:rsidDel="00000000" w:rsidP="00000000" w:rsidRDefault="00000000" w:rsidRPr="00000000" w14:paraId="0000005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Jamie Beastrom: </w:t>
            </w:r>
            <w:r w:rsidDel="00000000" w:rsidR="00000000" w:rsidRPr="00000000">
              <w:rPr>
                <w:rFonts w:ascii="Arial" w:cs="Arial" w:eastAsia="Arial" w:hAnsi="Arial"/>
                <w:sz w:val="24"/>
                <w:szCs w:val="24"/>
                <w:rtl w:val="0"/>
              </w:rPr>
              <w:t xml:space="preserve">Family Service Coordinator, Weston Co. CDC – Center covers both Crook and Weston County, can be difficult providing services to the more rural areas, but providers are working through it. Gearing up for child find activities. </w:t>
            </w:r>
          </w:p>
          <w:p w:rsidR="00000000" w:rsidDel="00000000" w:rsidP="00000000" w:rsidRDefault="00000000" w:rsidRPr="00000000" w14:paraId="0000005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Amy Reyes: </w:t>
            </w:r>
            <w:r w:rsidDel="00000000" w:rsidR="00000000" w:rsidRPr="00000000">
              <w:rPr>
                <w:rFonts w:ascii="Arial" w:cs="Arial" w:eastAsia="Arial" w:hAnsi="Arial"/>
                <w:sz w:val="24"/>
                <w:szCs w:val="24"/>
                <w:rtl w:val="0"/>
              </w:rPr>
              <w:t xml:space="preserve">Early Learning and Early Literacy Specialist, Wyoming Department of Education – CLS development grant was submitted. Held the Embracing Literacy conference, not many early childhood providers attended. Will have national early childhood speakers present at the Collaborative conference. TANF grant is open July 1 - July 19.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Kim Caylor: </w:t>
            </w:r>
            <w:r w:rsidDel="00000000" w:rsidR="00000000" w:rsidRPr="00000000">
              <w:rPr>
                <w:rFonts w:ascii="Arial" w:cs="Arial" w:eastAsia="Arial" w:hAnsi="Arial"/>
                <w:sz w:val="24"/>
                <w:szCs w:val="24"/>
                <w:rtl w:val="0"/>
              </w:rPr>
              <w:t xml:space="preserve">Early Intervention and Education Program Unit Manager, Behavioral Health– Received additional ESSER funds for Part B to be used for professional development and travel expenses. Also using funds for a variety of training such as social emotional, behavior management training, short specialized topic training for Part B staff, Prevent/Teach/Reinforce training. Regions will receive funds to purchase curriculum materials.</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Jolene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b w:val="1"/>
                <w:sz w:val="24"/>
                <w:szCs w:val="24"/>
                <w:rtl w:val="0"/>
              </w:rPr>
              <w:t xml:space="preserve">Flores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sz w:val="24"/>
                <w:szCs w:val="24"/>
                <w:rtl w:val="0"/>
              </w:rPr>
              <w:t xml:space="preserve">Behavioral Health – Early Intervention and Education Conference held in June. Executed all FY25 Child Development Center contracts. CDC’s will receive professional development funds via contract amendments. Submitted federal 457 report for Part B, will start working on child count and setting report submission for Part C.</w:t>
            </w:r>
            <w:r w:rsidDel="00000000" w:rsidR="00000000" w:rsidRPr="00000000">
              <w:rPr>
                <w:rtl w:val="0"/>
              </w:rPr>
            </w:r>
          </w:p>
          <w:p w:rsidR="00000000" w:rsidDel="00000000" w:rsidP="00000000" w:rsidRDefault="00000000" w:rsidRPr="00000000" w14:paraId="0000005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Call for Additions to Agenda Discussion and Approval of Minutes from </w:t>
            </w:r>
            <w:r w:rsidDel="00000000" w:rsidR="00000000" w:rsidRPr="00000000">
              <w:rPr>
                <w:rFonts w:ascii="Arial" w:cs="Arial" w:eastAsia="Arial" w:hAnsi="Arial"/>
                <w:b w:val="1"/>
                <w:sz w:val="24"/>
                <w:szCs w:val="24"/>
                <w:rtl w:val="0"/>
              </w:rPr>
              <w:t xml:space="preserve">April</w:t>
            </w:r>
            <w:r w:rsidDel="00000000" w:rsidR="00000000" w:rsidRPr="00000000">
              <w:rPr>
                <w:rFonts w:ascii="Arial" w:cs="Arial" w:eastAsia="Arial" w:hAnsi="Arial"/>
                <w:b w:val="1"/>
                <w:color w:val="000000"/>
                <w:sz w:val="24"/>
                <w:szCs w:val="24"/>
                <w:rtl w:val="0"/>
              </w:rPr>
              <w:t xml:space="preserve"> Meeting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Meeting minutes approved via Google poll.</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0">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Public Comment</w:t>
            </w:r>
            <w:r w:rsidDel="00000000" w:rsidR="00000000" w:rsidRPr="00000000">
              <w:rPr>
                <w:rFonts w:ascii="Arial" w:cs="Arial" w:eastAsia="Arial" w:hAnsi="Arial"/>
                <w:color w:val="000000"/>
                <w:sz w:val="24"/>
                <w:szCs w:val="24"/>
                <w:rtl w:val="0"/>
              </w:rPr>
              <w:t xml:space="preserve">- no public comment was received.</w:t>
            </w:r>
          </w:p>
          <w:p w:rsidR="00000000" w:rsidDel="00000000" w:rsidP="00000000" w:rsidRDefault="00000000" w:rsidRPr="00000000" w14:paraId="0000006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Part C Monitoring Schedule &amp; Indicators</w:t>
            </w:r>
            <w:r w:rsidDel="00000000" w:rsidR="00000000" w:rsidRPr="00000000">
              <w:rPr>
                <w:rFonts w:ascii="Arial" w:cs="Arial" w:eastAsia="Arial" w:hAnsi="Arial"/>
                <w:sz w:val="24"/>
                <w:szCs w:val="24"/>
                <w:rtl w:val="0"/>
              </w:rPr>
              <w:t xml:space="preserve">–   EIEP has done a 3-year cyclical monitoring schedule in years past.</w:t>
            </w:r>
          </w:p>
          <w:p w:rsidR="00000000" w:rsidDel="00000000" w:rsidP="00000000" w:rsidRDefault="00000000" w:rsidRPr="00000000" w14:paraId="00000064">
            <w:pPr>
              <w:rPr>
                <w:rFonts w:ascii="Arial" w:cs="Arial" w:eastAsia="Arial" w:hAnsi="Arial"/>
                <w:sz w:val="24"/>
                <w:szCs w:val="24"/>
              </w:rPr>
            </w:pPr>
            <w:r w:rsidDel="00000000" w:rsidR="00000000" w:rsidRPr="00000000">
              <w:rPr>
                <w:rFonts w:ascii="Arial" w:cs="Arial" w:eastAsia="Arial" w:hAnsi="Arial"/>
                <w:sz w:val="24"/>
                <w:szCs w:val="24"/>
                <w:rtl w:val="0"/>
              </w:rPr>
              <w:t xml:space="preserve">SFY 2022 7/1/2021-6/30/2022 Ten Regions monitored</w:t>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SFY 2023 7/1/2022-6/30/2023 Two regions monitored</w:t>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SFY 2024 7/1/2023-6/30/2024  Two regions monitored</w:t>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General Supervision Guidance Page 11 Question A-11: How frequently should a State monitor its LEAs or EIS programs or providers? Answer: A State should monitor all LEAs or EIS programs and providers within a reasonable period of time and at least once within a six-year period (which is based on the duration of the SPP/APR). However, where LEA or EIS program or provider data or other available information indicates an area of concern, a State should consider whether more frequent or targeted monitoring (i.e., a monitoring activity that occurs outside of the State’s normal cycle to address emerging or new issues, and typically is limited in scope) is necessary. </w:t>
            </w:r>
          </w:p>
          <w:p w:rsidR="00000000" w:rsidDel="00000000" w:rsidP="00000000" w:rsidRDefault="00000000" w:rsidRPr="00000000" w14:paraId="0000006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Summary of Findings</w:t>
            </w:r>
          </w:p>
          <w:p w:rsidR="00000000" w:rsidDel="00000000" w:rsidP="00000000" w:rsidRDefault="00000000" w:rsidRPr="00000000" w14:paraId="0000006A">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1- no findings issued. There were missing PWNs, a missing Team Meeting Notice, and service recommendations. Pre-finding correction was completed and no issues were found in the subsequent review so no findings were issued.</w:t>
            </w:r>
          </w:p>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2- findings issued for hearing and vision screenings not being completed and not being documented in the IFSP since they weren’t completed.</w:t>
            </w:r>
          </w:p>
          <w:p w:rsidR="00000000" w:rsidDel="00000000" w:rsidP="00000000" w:rsidRDefault="00000000" w:rsidRPr="00000000" w14:paraId="0000006C">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3- no findings issued.</w:t>
            </w:r>
          </w:p>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4- findings issued- hearing and vision, service provision, periodic reviews, transitions.</w:t>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5- no findings issued.</w:t>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6- numerous findings</w:t>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7- numerous findings</w:t>
            </w:r>
          </w:p>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8- findings issued for service delivery and PWNs for change in service provision</w:t>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9- no findings issued</w:t>
            </w:r>
          </w:p>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10- findings issued for no PWN for periodic reviews</w:t>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11- no findings</w:t>
            </w:r>
          </w:p>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12- multiple findings- compliance timelines, timely reviews, etc.</w:t>
            </w:r>
          </w:p>
          <w:p w:rsidR="00000000" w:rsidDel="00000000" w:rsidP="00000000" w:rsidRDefault="00000000" w:rsidRPr="00000000" w14:paraId="00000076">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13- no findings</w:t>
            </w:r>
          </w:p>
          <w:p w:rsidR="00000000" w:rsidDel="00000000" w:rsidP="00000000" w:rsidRDefault="00000000" w:rsidRPr="00000000" w14:paraId="00000077">
            <w:pPr>
              <w:rPr>
                <w:rFonts w:ascii="Arial" w:cs="Arial" w:eastAsia="Arial" w:hAnsi="Arial"/>
                <w:sz w:val="24"/>
                <w:szCs w:val="24"/>
              </w:rPr>
            </w:pPr>
            <w:r w:rsidDel="00000000" w:rsidR="00000000" w:rsidRPr="00000000">
              <w:rPr>
                <w:rFonts w:ascii="Arial" w:cs="Arial" w:eastAsia="Arial" w:hAnsi="Arial"/>
                <w:sz w:val="24"/>
                <w:szCs w:val="24"/>
                <w:rtl w:val="0"/>
              </w:rPr>
              <w:t xml:space="preserve">Region 14- no findings</w:t>
            </w:r>
          </w:p>
          <w:p w:rsidR="00000000" w:rsidDel="00000000" w:rsidP="00000000" w:rsidRDefault="00000000" w:rsidRPr="00000000" w14:paraId="00000078">
            <w:pPr>
              <w:rPr>
                <w:rFonts w:ascii="Arial" w:cs="Arial" w:eastAsia="Arial" w:hAnsi="Arial"/>
                <w:sz w:val="24"/>
                <w:szCs w:val="24"/>
              </w:rPr>
            </w:pPr>
            <w:r w:rsidDel="00000000" w:rsidR="00000000" w:rsidRPr="00000000">
              <w:rPr>
                <w:rFonts w:ascii="Arial" w:cs="Arial" w:eastAsia="Arial" w:hAnsi="Arial"/>
                <w:sz w:val="24"/>
                <w:szCs w:val="24"/>
                <w:rtl w:val="0"/>
              </w:rPr>
              <w:t xml:space="preserve">7 regions had no findings, 4 had numerous findings, 3 had less than 3 findings</w:t>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EIEP wanted input from council members on the frequency of the Part C monitoring cycle. Members voted to continue the 3 year cycle via a Google poll. Members also voted that monitoring results should be posted on the website for public viewing. </w:t>
            </w:r>
          </w:p>
          <w:p w:rsidR="00000000" w:rsidDel="00000000" w:rsidP="00000000" w:rsidRDefault="00000000" w:rsidRPr="00000000" w14:paraId="0000007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Outdoor Learning</w:t>
            </w:r>
            <w:r w:rsidDel="00000000" w:rsidR="00000000" w:rsidRPr="00000000">
              <w:rPr>
                <w:rFonts w:ascii="Arial" w:cs="Arial" w:eastAsia="Arial" w:hAnsi="Arial"/>
                <w:sz w:val="24"/>
                <w:szCs w:val="24"/>
                <w:rtl w:val="0"/>
              </w:rPr>
              <w:t xml:space="preserve">– presentation given by Amy Reyes. </w:t>
            </w:r>
          </w:p>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Act Early </w:t>
            </w:r>
            <w:r w:rsidDel="00000000" w:rsidR="00000000" w:rsidRPr="00000000">
              <w:rPr>
                <w:rFonts w:ascii="Arial" w:cs="Arial" w:eastAsia="Arial" w:hAnsi="Arial"/>
                <w:sz w:val="24"/>
                <w:szCs w:val="24"/>
                <w:rtl w:val="0"/>
              </w:rPr>
              <w:t xml:space="preserve">– Presentation given by Cari Glantz</w:t>
            </w:r>
          </w:p>
          <w:p w:rsidR="00000000" w:rsidDel="00000000" w:rsidP="00000000" w:rsidRDefault="00000000" w:rsidRPr="00000000" w14:paraId="0000007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sz w:val="26"/>
                <w:szCs w:val="26"/>
              </w:rPr>
            </w:pPr>
            <w:r w:rsidDel="00000000" w:rsidR="00000000" w:rsidRPr="00000000">
              <w:rPr>
                <w:rFonts w:ascii="Arial" w:cs="Arial" w:eastAsia="Arial" w:hAnsi="Arial"/>
                <w:b w:val="1"/>
                <w:sz w:val="24"/>
                <w:szCs w:val="24"/>
                <w:rtl w:val="0"/>
              </w:rPr>
              <w:t xml:space="preserve">Interim topic- early childhood governance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No questio</w:t>
            </w:r>
            <w:r w:rsidDel="00000000" w:rsidR="00000000" w:rsidRPr="00000000">
              <w:rPr>
                <w:rFonts w:ascii="Arial" w:cs="Arial" w:eastAsia="Arial" w:hAnsi="Arial"/>
                <w:sz w:val="24"/>
                <w:szCs w:val="24"/>
                <w:rtl w:val="0"/>
              </w:rPr>
              <w:t xml:space="preserve">ns or discussions regarding the Joint Education Committee meeting held in April. Members thought there were good conversations happening and ECIDS was extremely helpful in obtaining data to answer legislative questions.</w:t>
            </w:r>
            <w:r w:rsidDel="00000000" w:rsidR="00000000" w:rsidRPr="00000000">
              <w:rPr>
                <w:rtl w:val="0"/>
              </w:rPr>
            </w:r>
          </w:p>
          <w:p w:rsidR="00000000" w:rsidDel="00000000" w:rsidP="00000000" w:rsidRDefault="00000000" w:rsidRPr="00000000" w14:paraId="00000081">
            <w:pPr>
              <w:ind w:left="0" w:firstLine="0"/>
              <w:rPr>
                <w:rFonts w:ascii="Arial" w:cs="Arial" w:eastAsia="Arial" w:hAnsi="Arial"/>
                <w:sz w:val="26"/>
                <w:szCs w:val="26"/>
                <w:u w:val="none"/>
              </w:rPr>
            </w:pPr>
            <w:r w:rsidDel="00000000" w:rsidR="00000000" w:rsidRPr="00000000">
              <w:rPr>
                <w:rtl w:val="0"/>
              </w:rPr>
            </w:r>
          </w:p>
          <w:p w:rsidR="00000000" w:rsidDel="00000000" w:rsidP="00000000" w:rsidRDefault="00000000" w:rsidRPr="00000000" w14:paraId="0000008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Child Find- State Campaign Update </w:t>
            </w:r>
            <w:r w:rsidDel="00000000" w:rsidR="00000000" w:rsidRPr="00000000">
              <w:rPr>
                <w:rFonts w:ascii="Arial" w:cs="Arial" w:eastAsia="Arial" w:hAnsi="Arial"/>
                <w:sz w:val="24"/>
                <w:szCs w:val="24"/>
                <w:rtl w:val="0"/>
              </w:rPr>
              <w:t xml:space="preserve">–The  Child Find Campaign is up for a new request for proposal (RFP).  The program would like the campaign to focus on where to get a screening, where to go if you have concerns, and who to contact. EIEP will be writing a new RFP and will reach out to Cari to collaborate with Act Early as they coincide nicely with each other.</w:t>
            </w:r>
          </w:p>
          <w:p w:rsidR="00000000" w:rsidDel="00000000" w:rsidP="00000000" w:rsidRDefault="00000000" w:rsidRPr="00000000" w14:paraId="0000008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State and local determinations</w:t>
            </w:r>
            <w:r w:rsidDel="00000000" w:rsidR="00000000" w:rsidRPr="00000000">
              <w:rPr>
                <w:rFonts w:ascii="Arial" w:cs="Arial" w:eastAsia="Arial" w:hAnsi="Arial"/>
                <w:sz w:val="24"/>
                <w:szCs w:val="24"/>
                <w:rtl w:val="0"/>
              </w:rPr>
              <w:tab/>
              <w:t xml:space="preserve">-– Presentation given by Kim Caylor. Part C State Determination was “Meets Requirements” for the 2022-2023 reporting year. This is the third year in a row that the state has met requirements. </w:t>
            </w:r>
          </w:p>
          <w:p w:rsidR="00000000" w:rsidDel="00000000" w:rsidP="00000000" w:rsidRDefault="00000000" w:rsidRPr="00000000" w14:paraId="00000085">
            <w:pPr>
              <w:rPr>
                <w:rFonts w:ascii="Arial" w:cs="Arial" w:eastAsia="Arial" w:hAnsi="Arial"/>
                <w:sz w:val="24"/>
                <w:szCs w:val="24"/>
              </w:rPr>
            </w:pPr>
            <w:r w:rsidDel="00000000" w:rsidR="00000000" w:rsidRPr="00000000">
              <w:rPr>
                <w:rFonts w:ascii="Arial" w:cs="Arial" w:eastAsia="Arial" w:hAnsi="Arial"/>
                <w:sz w:val="24"/>
                <w:szCs w:val="24"/>
                <w:rtl w:val="0"/>
              </w:rPr>
              <w:t xml:space="preserve">Local Determinations were Issued May 31st, 2024 and was based on the Annual Performance Report data that was submitted on 2/1/2024. </w:t>
            </w:r>
          </w:p>
          <w:p w:rsidR="00000000" w:rsidDel="00000000" w:rsidP="00000000" w:rsidRDefault="00000000" w:rsidRPr="00000000" w14:paraId="00000086">
            <w:pPr>
              <w:rPr>
                <w:rFonts w:ascii="Arial" w:cs="Arial" w:eastAsia="Arial" w:hAnsi="Arial"/>
                <w:sz w:val="24"/>
                <w:szCs w:val="24"/>
              </w:rPr>
            </w:pPr>
            <w:r w:rsidDel="00000000" w:rsidR="00000000" w:rsidRPr="00000000">
              <w:rPr>
                <w:rFonts w:ascii="Arial" w:cs="Arial" w:eastAsia="Arial" w:hAnsi="Arial"/>
                <w:sz w:val="24"/>
                <w:szCs w:val="24"/>
                <w:rtl w:val="0"/>
              </w:rPr>
              <w:t xml:space="preserve">2 Regions received Meets Requirements</w:t>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 xml:space="preserve">9 Regions received Needs Assistance</w:t>
            </w:r>
          </w:p>
          <w:p w:rsidR="00000000" w:rsidDel="00000000" w:rsidP="00000000" w:rsidRDefault="00000000" w:rsidRPr="00000000" w14:paraId="00000088">
            <w:pPr>
              <w:rPr>
                <w:rFonts w:ascii="Arial" w:cs="Arial" w:eastAsia="Arial" w:hAnsi="Arial"/>
                <w:sz w:val="24"/>
                <w:szCs w:val="24"/>
              </w:rPr>
            </w:pPr>
            <w:r w:rsidDel="00000000" w:rsidR="00000000" w:rsidRPr="00000000">
              <w:rPr>
                <w:rFonts w:ascii="Arial" w:cs="Arial" w:eastAsia="Arial" w:hAnsi="Arial"/>
                <w:sz w:val="24"/>
                <w:szCs w:val="24"/>
                <w:rtl w:val="0"/>
              </w:rPr>
              <w:t xml:space="preserve">3 Regions received Needs Intervention</w:t>
            </w:r>
          </w:p>
          <w:p w:rsidR="00000000" w:rsidDel="00000000" w:rsidP="00000000" w:rsidRDefault="00000000" w:rsidRPr="00000000" w14:paraId="00000089">
            <w:pP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very few regions receiving determination of Meets Requirements was not meeting the compliance timelines for all indicators, and not meeting targets for child outcomes statewide.</w:t>
            </w:r>
          </w:p>
          <w:p w:rsidR="00000000" w:rsidDel="00000000" w:rsidP="00000000" w:rsidRDefault="00000000" w:rsidRPr="00000000" w14:paraId="0000008A">
            <w:pPr>
              <w:rPr>
                <w:rFonts w:ascii="Arial" w:cs="Arial" w:eastAsia="Arial" w:hAnsi="Arial"/>
                <w:sz w:val="24"/>
                <w:szCs w:val="24"/>
              </w:rPr>
            </w:pPr>
            <w:r w:rsidDel="00000000" w:rsidR="00000000" w:rsidRPr="00000000">
              <w:rPr>
                <w:rFonts w:ascii="Arial" w:cs="Arial" w:eastAsia="Arial" w:hAnsi="Arial"/>
                <w:sz w:val="24"/>
                <w:szCs w:val="24"/>
                <w:rtl w:val="0"/>
              </w:rPr>
              <w:t xml:space="preserve">It was recommended not to make changes to the scoring matrix at this time. Wait to see how the breakdown works out next reporting year and consider changes at that time</w:t>
            </w:r>
          </w:p>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SSIP Update</w:t>
            </w:r>
            <w:r w:rsidDel="00000000" w:rsidR="00000000" w:rsidRPr="00000000">
              <w:rPr>
                <w:rFonts w:ascii="Arial" w:cs="Arial" w:eastAsia="Arial" w:hAnsi="Arial"/>
                <w:sz w:val="24"/>
                <w:szCs w:val="24"/>
                <w:rtl w:val="0"/>
              </w:rPr>
              <w:t xml:space="preserve"> –Pyramid Model Implementation Coach Training was held virtually May 3, all coaches from the ECBC attended as well as Helena, Deana, Kim, and Judy. The evaluation results were very positive. Attendees reported the information was helpful, the presentation was easy to follow and they liked that it was interactive</w:t>
            </w:r>
          </w:p>
          <w:p w:rsidR="00000000" w:rsidDel="00000000" w:rsidP="00000000" w:rsidRDefault="00000000" w:rsidRPr="00000000" w14:paraId="0000008E">
            <w:pPr>
              <w:rPr>
                <w:rFonts w:ascii="Arial" w:cs="Arial" w:eastAsia="Arial" w:hAnsi="Arial"/>
                <w:sz w:val="24"/>
                <w:szCs w:val="24"/>
              </w:rPr>
            </w:pPr>
            <w:r w:rsidDel="00000000" w:rsidR="00000000" w:rsidRPr="00000000">
              <w:rPr>
                <w:rFonts w:ascii="Arial" w:cs="Arial" w:eastAsia="Arial" w:hAnsi="Arial"/>
                <w:sz w:val="24"/>
                <w:szCs w:val="24"/>
                <w:rtl w:val="0"/>
              </w:rPr>
              <w:t xml:space="preserve">Local Leadership Team Training was held in Riverton May 7th and 8th, all coaches from the ECBC attended as well as Meghan and Krystyne from PIC, and Judy and Kim. The evaluation results were very positive. The comments were similar to the coaches training. Regions are working on setting up local teams with the assistance of coaches. Practice-Based Coaching Training and Data Coordinator Trainings to be scheduled in the future</w:t>
            </w:r>
          </w:p>
          <w:p w:rsidR="00000000" w:rsidDel="00000000" w:rsidP="00000000" w:rsidRDefault="00000000" w:rsidRPr="00000000" w14:paraId="0000008F">
            <w:pPr>
              <w:rPr>
                <w:rFonts w:ascii="Arial" w:cs="Arial" w:eastAsia="Arial" w:hAnsi="Arial"/>
                <w:sz w:val="24"/>
                <w:szCs w:val="24"/>
              </w:rPr>
            </w:pPr>
            <w:r w:rsidDel="00000000" w:rsidR="00000000" w:rsidRPr="00000000">
              <w:rPr>
                <w:rFonts w:ascii="Arial" w:cs="Arial" w:eastAsia="Arial" w:hAnsi="Arial"/>
                <w:sz w:val="24"/>
                <w:szCs w:val="24"/>
                <w:rtl w:val="0"/>
              </w:rPr>
              <w:t xml:space="preserve">The EI conference held in June was a huge success.</w:t>
            </w:r>
          </w:p>
          <w:p w:rsidR="00000000" w:rsidDel="00000000" w:rsidP="00000000" w:rsidRDefault="00000000" w:rsidRPr="00000000" w14:paraId="00000090">
            <w:pPr>
              <w:rPr>
                <w:rFonts w:ascii="Arial" w:cs="Arial" w:eastAsia="Arial" w:hAnsi="Arial"/>
                <w:sz w:val="24"/>
                <w:szCs w:val="24"/>
              </w:rPr>
            </w:pPr>
            <w:r w:rsidDel="00000000" w:rsidR="00000000" w:rsidRPr="00000000">
              <w:rPr>
                <w:rFonts w:ascii="Arial" w:cs="Arial" w:eastAsia="Arial" w:hAnsi="Arial"/>
                <w:sz w:val="24"/>
                <w:szCs w:val="24"/>
                <w:rtl w:val="0"/>
              </w:rPr>
              <w:t xml:space="preserve">Future PD:</w:t>
            </w:r>
          </w:p>
          <w:p w:rsidR="00000000" w:rsidDel="00000000" w:rsidP="00000000" w:rsidRDefault="00000000" w:rsidRPr="00000000" w14:paraId="00000091">
            <w:pPr>
              <w:rPr>
                <w:rFonts w:ascii="Arial" w:cs="Arial" w:eastAsia="Arial" w:hAnsi="Arial"/>
                <w:sz w:val="24"/>
                <w:szCs w:val="24"/>
              </w:rPr>
            </w:pPr>
            <w:r w:rsidDel="00000000" w:rsidR="00000000" w:rsidRPr="00000000">
              <w:rPr>
                <w:rFonts w:ascii="Arial" w:cs="Arial" w:eastAsia="Arial" w:hAnsi="Arial"/>
                <w:sz w:val="24"/>
                <w:szCs w:val="24"/>
                <w:rtl w:val="0"/>
              </w:rPr>
              <w:t xml:space="preserve">Positive Solutions for Families Train the Trainer in September</w:t>
            </w:r>
          </w:p>
          <w:p w:rsidR="00000000" w:rsidDel="00000000" w:rsidP="00000000" w:rsidRDefault="00000000" w:rsidRPr="00000000" w14:paraId="00000092">
            <w:pPr>
              <w:rPr>
                <w:rFonts w:ascii="Arial" w:cs="Arial" w:eastAsia="Arial" w:hAnsi="Arial"/>
                <w:sz w:val="24"/>
                <w:szCs w:val="24"/>
              </w:rPr>
            </w:pPr>
            <w:r w:rsidDel="00000000" w:rsidR="00000000" w:rsidRPr="00000000">
              <w:rPr>
                <w:rFonts w:ascii="Arial" w:cs="Arial" w:eastAsia="Arial" w:hAnsi="Arial"/>
                <w:sz w:val="24"/>
                <w:szCs w:val="24"/>
                <w:rtl w:val="0"/>
              </w:rPr>
              <w:t xml:space="preserve">Prevent-Teach-Reinforce Young Children</w:t>
            </w:r>
          </w:p>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Set dates for January and April 2025</w:t>
            </w:r>
            <w:r w:rsidDel="00000000" w:rsidR="00000000" w:rsidRPr="00000000">
              <w:rPr>
                <w:rFonts w:ascii="Arial" w:cs="Arial" w:eastAsia="Arial" w:hAnsi="Arial"/>
                <w:sz w:val="24"/>
                <w:szCs w:val="24"/>
                <w:rtl w:val="0"/>
              </w:rPr>
              <w:t xml:space="preserve"> -– Due to minimal member attendance meeting dates for January and April will be set at the October meeting.</w:t>
            </w:r>
          </w:p>
          <w:p w:rsidR="00000000" w:rsidDel="00000000" w:rsidP="00000000" w:rsidRDefault="00000000" w:rsidRPr="00000000" w14:paraId="00000096">
            <w:pPr>
              <w:ind w:left="0" w:firstLine="0"/>
              <w:rPr>
                <w:rFonts w:ascii="Arial" w:cs="Arial" w:eastAsia="Arial" w:hAnsi="Arial"/>
                <w:sz w:val="24"/>
                <w:szCs w:val="24"/>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Final comments/ thoughts/reflections</w:t>
            </w:r>
            <w:r w:rsidDel="00000000" w:rsidR="00000000" w:rsidRPr="00000000">
              <w:rPr>
                <w:rFonts w:ascii="Arial" w:cs="Arial" w:eastAsia="Arial" w:hAnsi="Arial"/>
                <w:sz w:val="24"/>
                <w:szCs w:val="24"/>
                <w:rtl w:val="0"/>
              </w:rPr>
              <w:t xml:space="preserve"> - Discussed possibility of changing location for October meeting from Cody to Cheyenne due to minimal attendance. Will survey members prior to making a decision.</w:t>
            </w:r>
          </w:p>
          <w:p w:rsidR="00000000" w:rsidDel="00000000" w:rsidP="00000000" w:rsidRDefault="00000000" w:rsidRPr="00000000" w14:paraId="000000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rPr>
                <w:rFonts w:ascii="Arial" w:cs="Arial" w:eastAsia="Arial" w:hAnsi="Arial"/>
                <w:sz w:val="24"/>
                <w:szCs w:val="24"/>
              </w:rPr>
            </w:pPr>
            <w:r w:rsidDel="00000000" w:rsidR="00000000" w:rsidRPr="00000000">
              <w:rPr>
                <w:rFonts w:ascii="Arial" w:cs="Arial" w:eastAsia="Arial" w:hAnsi="Arial"/>
                <w:sz w:val="24"/>
                <w:szCs w:val="24"/>
                <w:rtl w:val="0"/>
              </w:rPr>
              <w:t xml:space="preserve">Motion to adjourn by Cari Glantz, seconded by Kim Caylor. Motion passes. Meeting adjourned at 3:00pm</w:t>
            </w:r>
          </w:p>
        </w:tc>
      </w:tr>
      <w:tr>
        <w:trPr>
          <w:cantSplit w:val="0"/>
          <w:trHeight w:val="720" w:hRule="atLeast"/>
          <w:tblHeader w:val="0"/>
        </w:trPr>
        <w:tc>
          <w:tcPr>
            <w:gridSpan w:val="4"/>
            <w:tcBorders>
              <w:top w:color="632423" w:space="0" w:sz="18" w:val="single"/>
              <w:bottom w:color="632423" w:space="0" w:sz="18" w:val="single"/>
            </w:tcBorders>
          </w:tcPr>
          <w:p w:rsidR="00000000" w:rsidDel="00000000" w:rsidP="00000000" w:rsidRDefault="00000000" w:rsidRPr="00000000" w14:paraId="0000009E">
            <w:pPr>
              <w:ind w:left="180"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A2">
      <w:pPr>
        <w:spacing w:line="240" w:lineRule="auto"/>
        <w:rPr>
          <w:rFonts w:ascii="Arial" w:cs="Arial" w:eastAsia="Arial" w:hAnsi="Arial"/>
          <w:sz w:val="24"/>
          <w:szCs w:val="24"/>
        </w:rPr>
      </w:pPr>
      <w:r w:rsidDel="00000000" w:rsidR="00000000" w:rsidRPr="00000000">
        <w:rPr>
          <w:rtl w:val="0"/>
        </w:rPr>
      </w:r>
    </w:p>
    <w:sectPr>
      <w:headerReference r:id="rId7" w:type="default"/>
      <w:footerReference r:id="rId8" w:type="default"/>
      <w:pgSz w:h="15840" w:w="12240" w:orient="portrait"/>
      <w:pgMar w:bottom="720" w:top="243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widowControl w:val="0"/>
      <w:spacing w:after="0" w:lineRule="auto"/>
      <w:rPr/>
    </w:pPr>
    <w:r w:rsidDel="00000000" w:rsidR="00000000" w:rsidRPr="00000000">
      <w:rPr>
        <w:rtl w:val="0"/>
      </w:rPr>
    </w:r>
  </w:p>
  <w:tbl>
    <w:tblPr>
      <w:tblStyle w:val="Table3"/>
      <w:tblW w:w="10833.0" w:type="dxa"/>
      <w:jc w:val="left"/>
      <w:tblInd w:w="-213.0" w:type="dxa"/>
      <w:tblBorders>
        <w:top w:color="d99594" w:space="0" w:sz="18" w:val="single"/>
        <w:insideH w:color="808080" w:space="0" w:sz="18" w:val="single"/>
        <w:insideV w:color="d99594" w:space="0" w:sz="18" w:val="single"/>
      </w:tblBorders>
      <w:tblLayout w:type="fixed"/>
      <w:tblLook w:val="0400"/>
    </w:tblPr>
    <w:tblGrid>
      <w:gridCol w:w="690"/>
      <w:gridCol w:w="10143"/>
      <w:tblGridChange w:id="0">
        <w:tblGrid>
          <w:gridCol w:w="690"/>
          <w:gridCol w:w="10143"/>
        </w:tblGrid>
      </w:tblGridChange>
    </w:tblGrid>
    <w:tr>
      <w:trPr>
        <w:cantSplit w:val="0"/>
        <w:trHeight w:val="400" w:hRule="atLeast"/>
        <w:tblHeader w:val="0"/>
      </w:trPr>
      <w:tc>
        <w:tcPr/>
        <w:p w:rsidR="00000000" w:rsidDel="00000000" w:rsidP="00000000" w:rsidRDefault="00000000" w:rsidRPr="00000000" w14:paraId="000000A6">
          <w:pPr>
            <w:tabs>
              <w:tab w:val="center" w:leader="none" w:pos="4680"/>
              <w:tab w:val="right" w:leader="none" w:pos="9360"/>
            </w:tabs>
            <w:spacing w:after="72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A7">
          <w:pPr>
            <w:tabs>
              <w:tab w:val="center" w:leader="none" w:pos="4680"/>
              <w:tab w:val="right" w:leader="none" w:pos="9360"/>
            </w:tabs>
            <w:spacing w:after="500" w:lineRule="auto"/>
            <w:ind w:right="-450"/>
            <w:rPr>
              <w:sz w:val="16"/>
              <w:szCs w:val="16"/>
            </w:rPr>
          </w:pPr>
          <w:r w:rsidDel="00000000" w:rsidR="00000000" w:rsidRPr="00000000">
            <w:rPr>
              <w:sz w:val="16"/>
              <w:szCs w:val="16"/>
              <w:rtl w:val="0"/>
            </w:rPr>
            <w:t xml:space="preserve">WDH – Behavioral Health Division                                                                                                   Early Intervention Council  Meeting Minutes, April 10, 2024</w:t>
          </w:r>
        </w:p>
      </w:tc>
    </w:tr>
  </w:tbl>
  <w:p w:rsidR="00000000" w:rsidDel="00000000" w:rsidP="00000000" w:rsidRDefault="00000000" w:rsidRPr="00000000" w14:paraId="000000A8">
    <w:pPr>
      <w:tabs>
        <w:tab w:val="center" w:leader="none" w:pos="4680"/>
        <w:tab w:val="right" w:leader="none" w:pos="9360"/>
      </w:tabs>
      <w:spacing w:after="10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tabs>
        <w:tab w:val="center" w:leader="none" w:pos="4680"/>
        <w:tab w:val="right" w:leader="none" w:pos="9360"/>
      </w:tabs>
      <w:spacing w:after="0" w:before="100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400050</wp:posOffset>
          </wp:positionV>
          <wp:extent cx="6962775" cy="91589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62775" cy="915895"/>
                  </a:xfrm>
                  <a:prstGeom prst="rect"/>
                  <a:ln/>
                </pic:spPr>
              </pic:pic>
            </a:graphicData>
          </a:graphic>
        </wp:anchor>
      </w:drawing>
    </w:r>
  </w:p>
  <w:p w:rsidR="00000000" w:rsidDel="00000000" w:rsidP="00000000" w:rsidRDefault="00000000" w:rsidRPr="00000000" w14:paraId="000000A4">
    <w:pPr>
      <w:spacing w:after="16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0" w:customStyle="1">
    <w:basedOn w:val="TableNormal"/>
    <w:pPr>
      <w:spacing w:after="0" w:line="240" w:lineRule="auto"/>
    </w:pPr>
    <w:tblPr>
      <w:tblStyleRowBandSize w:val="1"/>
      <w:tblStyleColBandSize w:val="1"/>
      <w:tblCellMar>
        <w:left w:w="115.0" w:type="dxa"/>
        <w:right w:w="115.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table" w:styleId="a1" w:customStyle="1">
    <w:basedOn w:val="TableNormal"/>
    <w:pPr>
      <w:spacing w:after="0" w:line="240" w:lineRule="auto"/>
    </w:pPr>
    <w:tblPr>
      <w:tblStyleRowBandSize w:val="1"/>
      <w:tblStyleColBandSize w:val="1"/>
      <w:tblCellMar>
        <w:left w:w="115.0" w:type="dxa"/>
        <w:right w:w="115.0" w:type="dxa"/>
      </w:tblCellMar>
    </w:tblPr>
    <w:tblStylePr w:type="firstRow">
      <w:tblPr/>
      <w:tcPr>
        <w:tcMar>
          <w:top w:w="0.0" w:type="dxa"/>
          <w:left w:w="115.0" w:type="dxa"/>
          <w:bottom w:w="0.0" w:type="dxa"/>
          <w:right w:w="115.0" w:type="dxa"/>
        </w:tcMar>
      </w:tcPr>
    </w:tblStylePr>
    <w:tblStylePr w:type="lastRow">
      <w:tblPr/>
      <w:tcPr>
        <w:tcMar>
          <w:top w:w="0.0" w:type="dxa"/>
          <w:left w:w="115.0" w:type="dxa"/>
          <w:bottom w:w="0.0" w:type="dxa"/>
          <w:right w:w="115.0" w:type="dxa"/>
        </w:tcMar>
      </w:tcPr>
    </w:tblStylePr>
    <w:tblStylePr w:type="firstCol">
      <w:tblPr/>
      <w:tcPr>
        <w:tcMar>
          <w:top w:w="0.0" w:type="dxa"/>
          <w:left w:w="115.0" w:type="dxa"/>
          <w:bottom w:w="0.0" w:type="dxa"/>
          <w:right w:w="115.0" w:type="dxa"/>
        </w:tcMar>
      </w:tcPr>
    </w:tblStylePr>
    <w:tblStylePr w:type="lastCol">
      <w:tblPr/>
      <w:tcPr>
        <w:tcMar>
          <w:top w:w="0.0" w:type="dxa"/>
          <w:left w:w="115.0" w:type="dxa"/>
          <w:bottom w:w="0.0" w:type="dxa"/>
          <w:right w:w="115.0" w:type="dxa"/>
        </w:tcMar>
      </w:tcPr>
    </w:tblStylePr>
    <w:tblStylePr w:type="band1Vert">
      <w:tblPr/>
      <w:tcPr>
        <w:tcMar>
          <w:top w:w="0.0" w:type="dxa"/>
          <w:left w:w="115.0" w:type="dxa"/>
          <w:bottom w:w="0.0" w:type="dxa"/>
          <w:right w:w="115.0" w:type="dxa"/>
        </w:tcMar>
      </w:tcPr>
    </w:tblStylePr>
    <w:tblStylePr w:type="band2Vert">
      <w:tblPr/>
      <w:tcPr>
        <w:tcMar>
          <w:top w:w="0.0" w:type="dxa"/>
          <w:left w:w="115.0" w:type="dxa"/>
          <w:bottom w:w="0.0" w:type="dxa"/>
          <w:right w:w="115.0" w:type="dxa"/>
        </w:tcMar>
      </w:tcPr>
    </w:tblStylePr>
    <w:tblStylePr w:type="band1Horz">
      <w:tblPr/>
      <w:tcPr>
        <w:tcMar>
          <w:top w:w="0.0" w:type="dxa"/>
          <w:left w:w="115.0" w:type="dxa"/>
          <w:bottom w:w="0.0" w:type="dxa"/>
          <w:right w:w="115.0" w:type="dxa"/>
        </w:tcMar>
      </w:tcPr>
    </w:tblStylePr>
    <w:tblStylePr w:type="band2Horz">
      <w:tblPr/>
      <w:tcPr>
        <w:tcMar>
          <w:top w:w="0.0" w:type="dxa"/>
          <w:left w:w="115.0" w:type="dxa"/>
          <w:bottom w:w="0.0" w:type="dxa"/>
          <w:right w:w="115.0" w:type="dxa"/>
        </w:tcMar>
      </w:tcPr>
    </w:tblStylePr>
    <w:tblStylePr w:type="neCell">
      <w:tblPr/>
      <w:tcPr>
        <w:tcMar>
          <w:top w:w="0.0" w:type="dxa"/>
          <w:left w:w="115.0" w:type="dxa"/>
          <w:bottom w:w="0.0" w:type="dxa"/>
          <w:right w:w="115.0" w:type="dxa"/>
        </w:tcMar>
      </w:tcPr>
    </w:tblStylePr>
    <w:tblStylePr w:type="nwCell">
      <w:tblPr/>
      <w:tcPr>
        <w:tcMar>
          <w:top w:w="0.0" w:type="dxa"/>
          <w:left w:w="115.0" w:type="dxa"/>
          <w:bottom w:w="0.0" w:type="dxa"/>
          <w:right w:w="115.0" w:type="dxa"/>
        </w:tcMar>
      </w:tcPr>
    </w:tblStylePr>
    <w:tblStylePr w:type="seCell">
      <w:tblPr/>
      <w:tcPr>
        <w:tcMar>
          <w:top w:w="0.0" w:type="dxa"/>
          <w:left w:w="115.0" w:type="dxa"/>
          <w:bottom w:w="0.0" w:type="dxa"/>
          <w:right w:w="115.0" w:type="dxa"/>
        </w:tcMar>
      </w:tcPr>
    </w:tblStylePr>
    <w:tblStylePr w:type="swCell">
      <w:tblPr/>
      <w:tcPr>
        <w:tcMar>
          <w:top w:w="0.0" w:type="dxa"/>
          <w:left w:w="115.0" w:type="dxa"/>
          <w:bottom w:w="0.0" w:type="dxa"/>
          <w:right w:w="115.0" w:type="dxa"/>
        </w:tcMar>
      </w:tcPr>
    </w:tblStylePr>
  </w:style>
  <w:style w:type="paragraph" w:styleId="Header">
    <w:name w:val="header"/>
    <w:basedOn w:val="Normal"/>
    <w:link w:val="HeaderChar"/>
    <w:uiPriority w:val="99"/>
    <w:unhideWhenUsed w:val="1"/>
    <w:rsid w:val="001C1F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1F43"/>
  </w:style>
  <w:style w:type="paragraph" w:styleId="Footer">
    <w:name w:val="footer"/>
    <w:basedOn w:val="Normal"/>
    <w:link w:val="FooterChar"/>
    <w:uiPriority w:val="99"/>
    <w:unhideWhenUsed w:val="1"/>
    <w:rsid w:val="001C1F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1F4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u9SB3kIAlZKcAu6YofLYL+pzQ==">CgMxLjAyCWlkLmdqZGd4czIIaC5namRneHMyDmguZDN4ejRzcmQwaWc1OAByITFZaENGNDk1R19UN1JOV0stWUZNVTF3czgxdzRrcUZiZQ==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2024-01-12T15:22:00Z</dcterms:created>
</cp:coreProperties>
</file>