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DD" w:rsidRDefault="00A151D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2785" w:type="dxa"/>
        <w:tblInd w:w="-545" w:type="dxa"/>
        <w:tblBorders>
          <w:top w:val="nil"/>
          <w:left w:val="nil"/>
          <w:bottom w:val="nil"/>
          <w:right w:val="nil"/>
          <w:insideH w:val="nil"/>
          <w:insideV w:val="nil"/>
        </w:tblBorders>
        <w:tblLayout w:type="fixed"/>
        <w:tblLook w:val="0400" w:firstRow="0" w:lastRow="0" w:firstColumn="0" w:lastColumn="0" w:noHBand="0" w:noVBand="1"/>
      </w:tblPr>
      <w:tblGrid>
        <w:gridCol w:w="2065"/>
        <w:gridCol w:w="4230"/>
        <w:gridCol w:w="1980"/>
        <w:gridCol w:w="2255"/>
        <w:gridCol w:w="2255"/>
      </w:tblGrid>
      <w:tr w:rsidR="0047030A" w:rsidTr="0047030A">
        <w:tc>
          <w:tcPr>
            <w:tcW w:w="2065" w:type="dxa"/>
            <w:vAlign w:val="center"/>
          </w:tcPr>
          <w:p w:rsidR="0047030A" w:rsidRDefault="0047030A" w:rsidP="0047030A">
            <w:pPr>
              <w:rPr>
                <w:b/>
                <w:sz w:val="24"/>
                <w:szCs w:val="24"/>
              </w:rPr>
            </w:pPr>
            <w:r>
              <w:rPr>
                <w:b/>
                <w:sz w:val="24"/>
                <w:szCs w:val="24"/>
              </w:rPr>
              <w:t>Participant Name:</w:t>
            </w:r>
          </w:p>
        </w:tc>
        <w:tc>
          <w:tcPr>
            <w:tcW w:w="4230" w:type="dxa"/>
            <w:vAlign w:val="center"/>
          </w:tcPr>
          <w:p w:rsidR="0047030A" w:rsidRDefault="0047030A" w:rsidP="0047030A">
            <w:r>
              <w:t xml:space="preserve"> </w:t>
            </w:r>
            <w:sdt>
              <w:sdtPr>
                <w:id w:val="1910109246"/>
                <w:placeholder>
                  <w:docPart w:val="96FA3445B61944ACADFF11CA9326146A"/>
                </w:placeholder>
                <w:showingPlcHdr/>
              </w:sdtPr>
              <w:sdtEndPr/>
              <w:sdtContent>
                <w:bookmarkStart w:id="0" w:name="_GoBack"/>
                <w:r w:rsidRPr="0047030A">
                  <w:t xml:space="preserve"> </w:t>
                </w:r>
                <w:bookmarkEnd w:id="0"/>
              </w:sdtContent>
            </w:sdt>
          </w:p>
        </w:tc>
        <w:tc>
          <w:tcPr>
            <w:tcW w:w="1980" w:type="dxa"/>
            <w:vAlign w:val="center"/>
          </w:tcPr>
          <w:p w:rsidR="0047030A" w:rsidRDefault="0047030A" w:rsidP="0047030A">
            <w:pPr>
              <w:rPr>
                <w:b/>
                <w:sz w:val="24"/>
                <w:szCs w:val="24"/>
              </w:rPr>
            </w:pPr>
            <w:r>
              <w:rPr>
                <w:b/>
                <w:sz w:val="24"/>
                <w:szCs w:val="24"/>
              </w:rPr>
              <w:t>Submission Date:</w:t>
            </w:r>
          </w:p>
        </w:tc>
        <w:tc>
          <w:tcPr>
            <w:tcW w:w="2255" w:type="dxa"/>
            <w:vAlign w:val="center"/>
          </w:tcPr>
          <w:p w:rsidR="0047030A" w:rsidRDefault="0047030A" w:rsidP="0047030A">
            <w:r>
              <w:t xml:space="preserve"> </w:t>
            </w:r>
            <w:sdt>
              <w:sdtPr>
                <w:id w:val="-669252037"/>
                <w:placeholder>
                  <w:docPart w:val="801DB815A13F47C6A90970E0C14524EB"/>
                </w:placeholder>
                <w:showingPlcHdr/>
              </w:sdtPr>
              <w:sdtEndPr/>
              <w:sdtContent>
                <w:r w:rsidRPr="0047030A">
                  <w:t xml:space="preserve"> </w:t>
                </w:r>
              </w:sdtContent>
            </w:sdt>
          </w:p>
        </w:tc>
        <w:tc>
          <w:tcPr>
            <w:tcW w:w="2255" w:type="dxa"/>
            <w:vAlign w:val="center"/>
          </w:tcPr>
          <w:p w:rsidR="0047030A" w:rsidRDefault="0047030A" w:rsidP="0047030A">
            <w:r>
              <w:t xml:space="preserve"> </w:t>
            </w:r>
          </w:p>
        </w:tc>
      </w:tr>
    </w:tbl>
    <w:p w:rsidR="00A151DD" w:rsidRDefault="00A151DD">
      <w:pPr>
        <w:spacing w:after="0" w:line="240" w:lineRule="auto"/>
        <w:ind w:left="-450"/>
      </w:pPr>
    </w:p>
    <w:p w:rsidR="00A151DD" w:rsidRDefault="003B395C">
      <w:pPr>
        <w:spacing w:after="0" w:line="240" w:lineRule="auto"/>
        <w:ind w:left="-450" w:right="-720"/>
      </w:pPr>
      <w:r>
        <w:rPr>
          <w:b/>
          <w:sz w:val="24"/>
          <w:szCs w:val="24"/>
        </w:rPr>
        <w:t xml:space="preserve">Nursing Home Discharge Date: </w:t>
      </w:r>
      <w:r>
        <w:t xml:space="preserve"> </w:t>
      </w:r>
      <w:sdt>
        <w:sdtPr>
          <w:id w:val="1655649105"/>
          <w:placeholder>
            <w:docPart w:val="AEDFFCA956D246EA88BE5073CB356A07"/>
          </w:placeholder>
          <w:showingPlcHdr/>
        </w:sdtPr>
        <w:sdtEndPr/>
        <w:sdtContent>
          <w:r w:rsidR="0047030A" w:rsidRPr="0047030A">
            <w:t xml:space="preserve"> </w:t>
          </w:r>
        </w:sdtContent>
      </w:sdt>
    </w:p>
    <w:p w:rsidR="00A151DD" w:rsidRDefault="00A151DD">
      <w:pPr>
        <w:spacing w:after="0" w:line="240" w:lineRule="auto"/>
        <w:ind w:left="-450" w:right="-720"/>
        <w:rPr>
          <w:b/>
          <w:sz w:val="24"/>
          <w:szCs w:val="24"/>
        </w:rPr>
      </w:pPr>
    </w:p>
    <w:p w:rsidR="00A151DD" w:rsidRDefault="00A151DD">
      <w:pPr>
        <w:spacing w:after="0" w:line="240" w:lineRule="auto"/>
        <w:ind w:left="-450" w:right="-720"/>
        <w:rPr>
          <w:b/>
          <w:color w:val="3B9136"/>
          <w:sz w:val="24"/>
          <w:szCs w:val="24"/>
        </w:rPr>
      </w:pPr>
    </w:p>
    <w:p w:rsidR="00A151DD" w:rsidRDefault="003B395C">
      <w:pPr>
        <w:spacing w:after="0" w:line="240" w:lineRule="auto"/>
        <w:ind w:left="-450" w:right="-720"/>
        <w:rPr>
          <w:b/>
          <w:color w:val="3B9136"/>
          <w:sz w:val="24"/>
          <w:szCs w:val="24"/>
        </w:rPr>
      </w:pPr>
      <w:r>
        <w:rPr>
          <w:b/>
          <w:color w:val="3B9136"/>
          <w:sz w:val="24"/>
          <w:szCs w:val="24"/>
        </w:rPr>
        <w:t>Description of Expenses:</w:t>
      </w:r>
    </w:p>
    <w:p w:rsidR="00A151DD" w:rsidRDefault="003B395C">
      <w:pPr>
        <w:spacing w:after="0" w:line="240" w:lineRule="auto"/>
        <w:ind w:left="-450" w:right="-720"/>
        <w:rPr>
          <w:sz w:val="24"/>
          <w:szCs w:val="24"/>
        </w:rPr>
      </w:pPr>
      <w:r>
        <w:t xml:space="preserve"> </w:t>
      </w:r>
      <w:sdt>
        <w:sdtPr>
          <w:id w:val="856078795"/>
          <w:placeholder>
            <w:docPart w:val="6DF4F1ADFEFB489FB1D779A26A0DE357"/>
          </w:placeholder>
          <w:showingPlcHdr/>
        </w:sdtPr>
        <w:sdtEndPr/>
        <w:sdtContent>
          <w:r w:rsidR="0047030A" w:rsidRPr="0047030A">
            <w:t xml:space="preserve"> </w:t>
          </w:r>
        </w:sdtContent>
      </w:sdt>
    </w:p>
    <w:p w:rsidR="00A151DD" w:rsidRDefault="00A151DD">
      <w:pPr>
        <w:spacing w:after="0" w:line="240" w:lineRule="auto"/>
        <w:ind w:left="-450" w:right="-720"/>
        <w:rPr>
          <w:sz w:val="24"/>
          <w:szCs w:val="24"/>
        </w:rPr>
      </w:pPr>
    </w:p>
    <w:p w:rsidR="00A151DD" w:rsidRDefault="00A151DD">
      <w:pPr>
        <w:spacing w:after="0" w:line="240" w:lineRule="auto"/>
        <w:ind w:left="-450" w:right="-720"/>
        <w:rPr>
          <w:sz w:val="24"/>
          <w:szCs w:val="24"/>
        </w:rPr>
      </w:pPr>
    </w:p>
    <w:p w:rsidR="00A151DD" w:rsidRDefault="003B395C">
      <w:pPr>
        <w:spacing w:after="0" w:line="240" w:lineRule="auto"/>
        <w:ind w:left="-450" w:right="-720"/>
        <w:rPr>
          <w:b/>
          <w:color w:val="3B9136"/>
          <w:sz w:val="24"/>
          <w:szCs w:val="24"/>
        </w:rPr>
      </w:pPr>
      <w:r>
        <w:rPr>
          <w:b/>
          <w:color w:val="3B9136"/>
          <w:sz w:val="24"/>
          <w:szCs w:val="24"/>
        </w:rPr>
        <w:t>Please explain the need for the coordination and purchase of one-time, non-recurring expenses necessary for the participant to establish a basic household in the community.  This information must be included in the participant’s service plan.</w:t>
      </w:r>
    </w:p>
    <w:p w:rsidR="00A151DD" w:rsidRDefault="003B395C">
      <w:pPr>
        <w:spacing w:after="0" w:line="240" w:lineRule="auto"/>
        <w:ind w:left="-450" w:right="-720"/>
        <w:rPr>
          <w:sz w:val="24"/>
          <w:szCs w:val="24"/>
        </w:rPr>
      </w:pPr>
      <w:r>
        <w:t xml:space="preserve"> </w:t>
      </w:r>
      <w:sdt>
        <w:sdtPr>
          <w:id w:val="-45693555"/>
          <w:placeholder>
            <w:docPart w:val="DD6FFC167CC5435797FA985A1465DF33"/>
          </w:placeholder>
          <w:showingPlcHdr/>
        </w:sdtPr>
        <w:sdtEndPr/>
        <w:sdtContent>
          <w:r w:rsidR="0047030A" w:rsidRPr="0047030A">
            <w:t xml:space="preserve"> </w:t>
          </w:r>
        </w:sdtContent>
      </w:sdt>
    </w:p>
    <w:p w:rsidR="00A151DD" w:rsidRDefault="00A151DD">
      <w:pPr>
        <w:spacing w:after="0" w:line="240" w:lineRule="auto"/>
        <w:ind w:left="-450" w:right="-720"/>
        <w:rPr>
          <w:sz w:val="24"/>
          <w:szCs w:val="24"/>
        </w:rPr>
      </w:pPr>
    </w:p>
    <w:p w:rsidR="00A151DD" w:rsidRDefault="00A151DD">
      <w:pPr>
        <w:spacing w:after="0" w:line="240" w:lineRule="auto"/>
        <w:ind w:left="-450" w:right="-720"/>
        <w:rPr>
          <w:sz w:val="24"/>
          <w:szCs w:val="24"/>
        </w:rPr>
      </w:pPr>
    </w:p>
    <w:p w:rsidR="00A151DD" w:rsidRDefault="003B395C">
      <w:pPr>
        <w:spacing w:after="0" w:line="240" w:lineRule="auto"/>
        <w:ind w:left="-450" w:right="-720"/>
        <w:rPr>
          <w:b/>
          <w:color w:val="3B9136"/>
          <w:sz w:val="24"/>
          <w:szCs w:val="24"/>
        </w:rPr>
      </w:pPr>
      <w:r>
        <w:rPr>
          <w:b/>
          <w:color w:val="3B9136"/>
          <w:sz w:val="24"/>
          <w:szCs w:val="24"/>
        </w:rPr>
        <w:t>Additional Documentation:</w:t>
      </w:r>
    </w:p>
    <w:p w:rsidR="00A151DD" w:rsidRDefault="003B395C">
      <w:pPr>
        <w:spacing w:after="0" w:line="240" w:lineRule="auto"/>
        <w:ind w:left="-450" w:right="-720"/>
        <w:rPr>
          <w:sz w:val="24"/>
          <w:szCs w:val="24"/>
        </w:rPr>
      </w:pPr>
      <w:r>
        <w:rPr>
          <w:sz w:val="24"/>
          <w:szCs w:val="24"/>
        </w:rPr>
        <w:t>The case manager must include quotes, invoices, or other documentation that justifies each expense, dated within the last 180 days, with the submission of the request.</w:t>
      </w:r>
    </w:p>
    <w:p w:rsidR="00A151DD" w:rsidRDefault="003B395C">
      <w:pPr>
        <w:spacing w:after="0" w:line="240" w:lineRule="auto"/>
        <w:ind w:left="-450" w:right="-720"/>
        <w:rPr>
          <w:sz w:val="24"/>
          <w:szCs w:val="24"/>
        </w:rPr>
      </w:pPr>
      <w:r>
        <w:t xml:space="preserve"> </w:t>
      </w:r>
    </w:p>
    <w:p w:rsidR="00A151DD" w:rsidRDefault="00A151DD">
      <w:pPr>
        <w:spacing w:after="0" w:line="240" w:lineRule="auto"/>
        <w:ind w:left="-450" w:right="-720"/>
        <w:rPr>
          <w:i/>
          <w:sz w:val="24"/>
          <w:szCs w:val="24"/>
        </w:rPr>
      </w:pPr>
    </w:p>
    <w:p w:rsidR="00A151DD" w:rsidRDefault="00A151DD">
      <w:pPr>
        <w:spacing w:after="0" w:line="240" w:lineRule="auto"/>
        <w:ind w:left="-450" w:right="-720"/>
        <w:rPr>
          <w:i/>
          <w:sz w:val="24"/>
          <w:szCs w:val="24"/>
        </w:rPr>
      </w:pPr>
    </w:p>
    <w:p w:rsidR="00A151DD" w:rsidRDefault="003B395C">
      <w:pPr>
        <w:spacing w:after="0" w:line="240" w:lineRule="auto"/>
        <w:ind w:left="-450" w:right="-720"/>
        <w:rPr>
          <w:i/>
          <w:sz w:val="24"/>
          <w:szCs w:val="24"/>
        </w:rPr>
      </w:pPr>
      <w:r>
        <w:rPr>
          <w:i/>
          <w:sz w:val="24"/>
          <w:szCs w:val="24"/>
        </w:rPr>
        <w:t>* The Transition Setup Expenses service is not considered complete, and cannot be claimed until the first day the participant has transitioned from the nursing facility and is an active CCW participant. Expenses cannot exceed</w:t>
      </w:r>
      <w:r w:rsidR="0047030A">
        <w:rPr>
          <w:i/>
          <w:sz w:val="24"/>
          <w:szCs w:val="24"/>
        </w:rPr>
        <w:t xml:space="preserve"> $</w:t>
      </w:r>
      <w:r w:rsidR="0047030A" w:rsidRPr="0047030A">
        <w:rPr>
          <w:i/>
          <w:sz w:val="24"/>
          <w:szCs w:val="24"/>
        </w:rPr>
        <w:t>2,500 per participant, unless otherwise authorized by the Division</w:t>
      </w:r>
      <w:r w:rsidR="0047030A">
        <w:rPr>
          <w:i/>
          <w:sz w:val="24"/>
          <w:szCs w:val="24"/>
        </w:rPr>
        <w:t>.</w:t>
      </w:r>
    </w:p>
    <w:p w:rsidR="00A151DD" w:rsidRDefault="00A151DD">
      <w:pPr>
        <w:spacing w:after="0" w:line="240" w:lineRule="auto"/>
        <w:ind w:left="-450" w:right="-720"/>
        <w:rPr>
          <w:i/>
          <w:sz w:val="24"/>
          <w:szCs w:val="24"/>
        </w:rPr>
      </w:pPr>
    </w:p>
    <w:p w:rsidR="00A151DD" w:rsidRDefault="003B395C">
      <w:pPr>
        <w:spacing w:after="0" w:line="240" w:lineRule="auto"/>
        <w:ind w:left="-450" w:right="-720"/>
        <w:rPr>
          <w:i/>
          <w:sz w:val="24"/>
          <w:szCs w:val="24"/>
        </w:rPr>
      </w:pPr>
      <w:r>
        <w:rPr>
          <w:i/>
          <w:sz w:val="24"/>
          <w:szCs w:val="24"/>
        </w:rPr>
        <w:t>** By federal law (42 CFR §433 Subpart D, §433.138, and 433.139), third parties that are responsible for payment of services must be identified. The CCW is considered the payer of last resort.  The case manager attests that no other insurer or program, such as the Department of Workforce Services or Division of Vocational Rehabilitation,  Department of Education, Medicaid State Plan, Medicare, Division of Aging, state and federal grants, private insurers, or other available programs, is responsible for the cost or part of the cost of the services outlined on this form.</w:t>
      </w:r>
    </w:p>
    <w:p w:rsidR="00A151DD" w:rsidRDefault="00A151DD">
      <w:pPr>
        <w:spacing w:after="0" w:line="240" w:lineRule="auto"/>
        <w:ind w:left="-450" w:right="-720"/>
        <w:rPr>
          <w:b/>
          <w:sz w:val="24"/>
          <w:szCs w:val="24"/>
        </w:rPr>
      </w:pPr>
    </w:p>
    <w:p w:rsidR="00A151DD" w:rsidRDefault="003B395C">
      <w:pPr>
        <w:spacing w:after="0" w:line="240" w:lineRule="auto"/>
        <w:ind w:left="-450" w:right="-720"/>
        <w:rPr>
          <w:sz w:val="24"/>
          <w:szCs w:val="24"/>
          <w:u w:val="single"/>
        </w:rPr>
      </w:pPr>
      <w:r>
        <w:rPr>
          <w:b/>
          <w:sz w:val="24"/>
          <w:szCs w:val="24"/>
        </w:rPr>
        <w:t>Participant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151DD" w:rsidRDefault="00A151DD">
      <w:pPr>
        <w:spacing w:after="0" w:line="240" w:lineRule="auto"/>
        <w:ind w:left="-450" w:right="-720"/>
        <w:rPr>
          <w:sz w:val="24"/>
          <w:szCs w:val="24"/>
        </w:rPr>
      </w:pPr>
    </w:p>
    <w:p w:rsidR="00A151DD" w:rsidRDefault="003B395C">
      <w:pPr>
        <w:spacing w:after="0" w:line="240" w:lineRule="auto"/>
        <w:ind w:left="-450" w:right="-720"/>
        <w:rPr>
          <w:b/>
          <w:sz w:val="24"/>
          <w:szCs w:val="24"/>
          <w:u w:val="single"/>
        </w:rPr>
      </w:pPr>
      <w:r>
        <w:rPr>
          <w:b/>
          <w:sz w:val="24"/>
          <w:szCs w:val="24"/>
        </w:rPr>
        <w:t>Printed name of case manager:</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A151DD" w:rsidRDefault="00A151DD">
      <w:pPr>
        <w:spacing w:after="0" w:line="240" w:lineRule="auto"/>
        <w:ind w:left="-450" w:right="-720"/>
        <w:rPr>
          <w:sz w:val="24"/>
          <w:szCs w:val="24"/>
        </w:rPr>
      </w:pPr>
    </w:p>
    <w:p w:rsidR="00A151DD" w:rsidRDefault="003B395C">
      <w:pPr>
        <w:spacing w:after="0" w:line="240" w:lineRule="auto"/>
        <w:ind w:left="-450" w:right="-720"/>
        <w:rPr>
          <w:b/>
          <w:sz w:val="24"/>
          <w:szCs w:val="24"/>
          <w:u w:val="single"/>
        </w:rPr>
      </w:pPr>
      <w:r>
        <w:rPr>
          <w:b/>
          <w:sz w:val="24"/>
          <w:szCs w:val="24"/>
        </w:rPr>
        <w:t>Case manager signature: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A151DD" w:rsidRDefault="00A151DD">
      <w:pPr>
        <w:spacing w:after="0" w:line="240" w:lineRule="auto"/>
        <w:ind w:left="-450" w:right="-720"/>
        <w:rPr>
          <w:sz w:val="24"/>
          <w:szCs w:val="24"/>
        </w:rPr>
      </w:pPr>
    </w:p>
    <w:p w:rsidR="00A151DD" w:rsidRDefault="003B395C">
      <w:pPr>
        <w:spacing w:after="0" w:line="240" w:lineRule="auto"/>
        <w:ind w:left="-450" w:right="-720"/>
        <w:rPr>
          <w:sz w:val="24"/>
          <w:szCs w:val="24"/>
        </w:rPr>
      </w:pPr>
      <w:r>
        <w:rPr>
          <w:b/>
          <w:sz w:val="24"/>
          <w:szCs w:val="24"/>
        </w:rPr>
        <w:t>Date: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br w:type="page"/>
      </w:r>
    </w:p>
    <w:p w:rsidR="00A151DD" w:rsidRDefault="003B395C">
      <w:pPr>
        <w:numPr>
          <w:ilvl w:val="0"/>
          <w:numId w:val="1"/>
        </w:numPr>
        <w:pBdr>
          <w:top w:val="nil"/>
          <w:left w:val="nil"/>
          <w:bottom w:val="nil"/>
          <w:right w:val="nil"/>
          <w:between w:val="nil"/>
        </w:pBdr>
        <w:spacing w:after="0" w:line="240" w:lineRule="auto"/>
        <w:rPr>
          <w:i/>
          <w:color w:val="000000"/>
          <w:sz w:val="24"/>
          <w:szCs w:val="24"/>
        </w:rPr>
      </w:pPr>
      <w:r>
        <w:rPr>
          <w:i/>
          <w:color w:val="000000"/>
          <w:sz w:val="24"/>
          <w:szCs w:val="24"/>
        </w:rPr>
        <w:lastRenderedPageBreak/>
        <w:t>Transition Setup expenses are one-time, non-recurring expenses necessary for a participant to establish a basic household, and support the participant to transition from an extended nursing facility placement to a community living arrangement.  The following expenses will be denied:</w:t>
      </w:r>
    </w:p>
    <w:p w:rsidR="00A151DD" w:rsidRDefault="003B395C">
      <w:pPr>
        <w:numPr>
          <w:ilvl w:val="1"/>
          <w:numId w:val="1"/>
        </w:numPr>
        <w:pBdr>
          <w:top w:val="nil"/>
          <w:left w:val="nil"/>
          <w:bottom w:val="nil"/>
          <w:right w:val="nil"/>
          <w:between w:val="nil"/>
        </w:pBdr>
        <w:spacing w:after="0" w:line="240" w:lineRule="auto"/>
        <w:rPr>
          <w:i/>
          <w:color w:val="000000"/>
          <w:sz w:val="24"/>
          <w:szCs w:val="24"/>
        </w:rPr>
      </w:pPr>
      <w:r>
        <w:rPr>
          <w:i/>
          <w:color w:val="000000"/>
          <w:sz w:val="24"/>
          <w:szCs w:val="24"/>
        </w:rPr>
        <w:t>Items available under Medicaid State Plan or Early Periodic Screening, Diagnosis, and Treatment (EPSDT)</w:t>
      </w:r>
    </w:p>
    <w:p w:rsidR="00A151DD" w:rsidRDefault="003B395C">
      <w:pPr>
        <w:numPr>
          <w:ilvl w:val="1"/>
          <w:numId w:val="1"/>
        </w:numPr>
        <w:pBdr>
          <w:top w:val="nil"/>
          <w:left w:val="nil"/>
          <w:bottom w:val="nil"/>
          <w:right w:val="nil"/>
          <w:between w:val="nil"/>
        </w:pBdr>
        <w:spacing w:after="0" w:line="240" w:lineRule="auto"/>
        <w:rPr>
          <w:i/>
          <w:color w:val="000000"/>
          <w:sz w:val="24"/>
          <w:szCs w:val="24"/>
        </w:rPr>
      </w:pPr>
      <w:r>
        <w:rPr>
          <w:i/>
          <w:color w:val="000000"/>
          <w:sz w:val="24"/>
          <w:szCs w:val="24"/>
        </w:rPr>
        <w:t>Room and board expenses, such as rent, mortgage expenses, ongoing food costs, or regular utility or telephone  charges</w:t>
      </w:r>
    </w:p>
    <w:p w:rsidR="00A151DD" w:rsidRDefault="003B395C">
      <w:pPr>
        <w:numPr>
          <w:ilvl w:val="1"/>
          <w:numId w:val="1"/>
        </w:numPr>
        <w:pBdr>
          <w:top w:val="nil"/>
          <w:left w:val="nil"/>
          <w:bottom w:val="nil"/>
          <w:right w:val="nil"/>
          <w:between w:val="nil"/>
        </w:pBdr>
        <w:spacing w:after="0" w:line="240" w:lineRule="auto"/>
        <w:rPr>
          <w:i/>
          <w:color w:val="000000"/>
          <w:sz w:val="24"/>
          <w:szCs w:val="24"/>
        </w:rPr>
      </w:pPr>
      <w:r>
        <w:rPr>
          <w:i/>
          <w:color w:val="000000"/>
          <w:sz w:val="24"/>
          <w:szCs w:val="24"/>
        </w:rPr>
        <w:t xml:space="preserve">Items that are intended for purely diversional, recreational, or entertainment purposes </w:t>
      </w:r>
    </w:p>
    <w:p w:rsidR="00A151DD" w:rsidRDefault="003B395C">
      <w:pPr>
        <w:numPr>
          <w:ilvl w:val="1"/>
          <w:numId w:val="1"/>
        </w:numPr>
        <w:pBdr>
          <w:top w:val="nil"/>
          <w:left w:val="nil"/>
          <w:bottom w:val="nil"/>
          <w:right w:val="nil"/>
          <w:between w:val="nil"/>
        </w:pBdr>
        <w:spacing w:after="0" w:line="240" w:lineRule="auto"/>
        <w:rPr>
          <w:i/>
          <w:color w:val="000000"/>
          <w:sz w:val="24"/>
          <w:szCs w:val="24"/>
        </w:rPr>
      </w:pPr>
      <w:r>
        <w:rPr>
          <w:i/>
          <w:color w:val="000000"/>
          <w:sz w:val="24"/>
          <w:szCs w:val="24"/>
        </w:rPr>
        <w:t xml:space="preserve">Computers and computer equipment, including the CPU, hard drives, and printers </w:t>
      </w:r>
    </w:p>
    <w:p w:rsidR="00A151DD" w:rsidRDefault="003B395C">
      <w:pPr>
        <w:numPr>
          <w:ilvl w:val="1"/>
          <w:numId w:val="1"/>
        </w:numPr>
        <w:pBdr>
          <w:top w:val="nil"/>
          <w:left w:val="nil"/>
          <w:bottom w:val="nil"/>
          <w:right w:val="nil"/>
          <w:between w:val="nil"/>
        </w:pBdr>
        <w:spacing w:after="0" w:line="240" w:lineRule="auto"/>
        <w:rPr>
          <w:i/>
          <w:color w:val="000000"/>
          <w:sz w:val="24"/>
          <w:szCs w:val="24"/>
        </w:rPr>
      </w:pPr>
      <w:r>
        <w:rPr>
          <w:i/>
          <w:color w:val="000000"/>
          <w:sz w:val="24"/>
          <w:szCs w:val="24"/>
        </w:rPr>
        <w:t>Markups on equipment or service</w:t>
      </w:r>
    </w:p>
    <w:sectPr w:rsidR="00A151DD">
      <w:footerReference w:type="default" r:id="rId8"/>
      <w:headerReference w:type="first" r:id="rId9"/>
      <w:footerReference w:type="first" r:id="rId10"/>
      <w:pgSz w:w="12240" w:h="15840"/>
      <w:pgMar w:top="1440" w:right="1440" w:bottom="1440" w:left="144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8C" w:rsidRDefault="00402C8C">
      <w:pPr>
        <w:spacing w:after="0" w:line="240" w:lineRule="auto"/>
      </w:pPr>
      <w:r>
        <w:separator/>
      </w:r>
    </w:p>
  </w:endnote>
  <w:endnote w:type="continuationSeparator" w:id="0">
    <w:p w:rsidR="00402C8C" w:rsidRDefault="0040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DD" w:rsidRDefault="003B395C">
    <w:pPr>
      <w:pBdr>
        <w:top w:val="nil"/>
        <w:left w:val="nil"/>
        <w:bottom w:val="nil"/>
        <w:right w:val="nil"/>
        <w:between w:val="nil"/>
      </w:pBdr>
      <w:tabs>
        <w:tab w:val="center" w:pos="4680"/>
        <w:tab w:val="right" w:pos="9360"/>
      </w:tabs>
      <w:spacing w:after="0" w:line="240" w:lineRule="auto"/>
      <w:ind w:left="-450"/>
      <w:rPr>
        <w:color w:val="000000"/>
        <w:sz w:val="18"/>
        <w:szCs w:val="18"/>
      </w:rPr>
    </w:pPr>
    <w:r>
      <w:rPr>
        <w:color w:val="000000"/>
        <w:sz w:val="18"/>
        <w:szCs w:val="18"/>
      </w:rPr>
      <w:t xml:space="preserve">HCBS Section </w:t>
    </w:r>
    <w:r>
      <w:rPr>
        <w:noProof/>
      </w:rPr>
      <w:drawing>
        <wp:anchor distT="0" distB="0" distL="114300" distR="114300" simplePos="0" relativeHeight="251659264" behindDoc="0" locked="0" layoutInCell="1" hidden="0" allowOverlap="1">
          <wp:simplePos x="0" y="0"/>
          <wp:positionH relativeFrom="column">
            <wp:posOffset>-752474</wp:posOffset>
          </wp:positionH>
          <wp:positionV relativeFrom="paragraph">
            <wp:posOffset>0</wp:posOffset>
          </wp:positionV>
          <wp:extent cx="285750" cy="333375"/>
          <wp:effectExtent l="0" t="0" r="0" b="0"/>
          <wp:wrapNone/>
          <wp:docPr id="8" name="image1.png" descr="https://lh5.googleusercontent.com/lQya9EVnzKEBJhrUtCIZRBo0ULkc_R9a8sYE5NeHsbwG8AqgsTXFi7y04RwIppZ3uPDnhJ394CBbTdxJUNtTg4rLHi5Msqui3WMTFwzcGDc2Gw6URNYq7u-h07nPCHS1Z0fSz1cJ"/>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lQya9EVnzKEBJhrUtCIZRBo0ULkc_R9a8sYE5NeHsbwG8AqgsTXFi7y04RwIppZ3uPDnhJ394CBbTdxJUNtTg4rLHi5Msqui3WMTFwzcGDc2Gw6URNYq7u-h07nPCHS1Z0fSz1cJ"/>
                  <pic:cNvPicPr preferRelativeResize="0"/>
                </pic:nvPicPr>
                <pic:blipFill>
                  <a:blip r:embed="rId1"/>
                  <a:srcRect/>
                  <a:stretch>
                    <a:fillRect/>
                  </a:stretch>
                </pic:blipFill>
                <pic:spPr>
                  <a:xfrm>
                    <a:off x="0" y="0"/>
                    <a:ext cx="285750" cy="333375"/>
                  </a:xfrm>
                  <a:prstGeom prst="rect">
                    <a:avLst/>
                  </a:prstGeom>
                  <a:ln/>
                </pic:spPr>
              </pic:pic>
            </a:graphicData>
          </a:graphic>
        </wp:anchor>
      </w:drawing>
    </w:r>
  </w:p>
  <w:p w:rsidR="00A151DD" w:rsidRDefault="003B395C">
    <w:pPr>
      <w:pBdr>
        <w:top w:val="nil"/>
        <w:left w:val="nil"/>
        <w:bottom w:val="nil"/>
        <w:right w:val="nil"/>
        <w:between w:val="nil"/>
      </w:pBdr>
      <w:tabs>
        <w:tab w:val="center" w:pos="4680"/>
        <w:tab w:val="right" w:pos="9360"/>
      </w:tabs>
      <w:spacing w:after="0" w:line="240" w:lineRule="auto"/>
      <w:ind w:left="-450"/>
      <w:rPr>
        <w:color w:val="000000"/>
        <w:sz w:val="18"/>
        <w:szCs w:val="18"/>
      </w:rPr>
    </w:pPr>
    <w:r>
      <w:rPr>
        <w:color w:val="000000"/>
        <w:sz w:val="18"/>
        <w:szCs w:val="18"/>
      </w:rPr>
      <w:t>CCW Form 1</w:t>
    </w:r>
    <w:r w:rsidR="00B55775">
      <w:rPr>
        <w:color w:val="000000"/>
        <w:sz w:val="18"/>
        <w:szCs w:val="18"/>
      </w:rPr>
      <w:t>6</w:t>
    </w:r>
    <w:r>
      <w:rPr>
        <w:color w:val="000000"/>
        <w:sz w:val="18"/>
        <w:szCs w:val="18"/>
      </w:rPr>
      <w:t xml:space="preserve"> – Transition Setup Expenses Request Worksheet </w:t>
    </w:r>
    <w:r>
      <w:rPr>
        <w:color w:val="3B9136"/>
        <w:sz w:val="18"/>
        <w:szCs w:val="18"/>
      </w:rPr>
      <w:t>---</w:t>
    </w:r>
    <w:r>
      <w:rPr>
        <w:color w:val="000000"/>
        <w:sz w:val="18"/>
        <w:szCs w:val="18"/>
      </w:rPr>
      <w:t xml:space="preserve"> 4/2023   BES</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B55775">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DD" w:rsidRDefault="003B395C">
    <w:pPr>
      <w:pBdr>
        <w:top w:val="nil"/>
        <w:left w:val="nil"/>
        <w:bottom w:val="nil"/>
        <w:right w:val="nil"/>
        <w:between w:val="nil"/>
      </w:pBdr>
      <w:tabs>
        <w:tab w:val="center" w:pos="4680"/>
        <w:tab w:val="right" w:pos="9360"/>
      </w:tabs>
      <w:spacing w:after="0" w:line="240" w:lineRule="auto"/>
      <w:ind w:left="-450"/>
      <w:rPr>
        <w:color w:val="000000"/>
        <w:sz w:val="18"/>
        <w:szCs w:val="18"/>
      </w:rPr>
    </w:pPr>
    <w:r>
      <w:rPr>
        <w:color w:val="000000"/>
        <w:sz w:val="18"/>
        <w:szCs w:val="18"/>
      </w:rPr>
      <w:t xml:space="preserve">HCBS Section </w:t>
    </w:r>
    <w:r>
      <w:rPr>
        <w:noProof/>
      </w:rPr>
      <w:drawing>
        <wp:anchor distT="0" distB="0" distL="114300" distR="114300" simplePos="0" relativeHeight="251660288" behindDoc="0" locked="0" layoutInCell="1" hidden="0" allowOverlap="1">
          <wp:simplePos x="0" y="0"/>
          <wp:positionH relativeFrom="column">
            <wp:posOffset>-752474</wp:posOffset>
          </wp:positionH>
          <wp:positionV relativeFrom="paragraph">
            <wp:posOffset>0</wp:posOffset>
          </wp:positionV>
          <wp:extent cx="285750" cy="333375"/>
          <wp:effectExtent l="0" t="0" r="0" b="0"/>
          <wp:wrapNone/>
          <wp:docPr id="6" name="image1.png" descr="https://lh5.googleusercontent.com/lQya9EVnzKEBJhrUtCIZRBo0ULkc_R9a8sYE5NeHsbwG8AqgsTXFi7y04RwIppZ3uPDnhJ394CBbTdxJUNtTg4rLHi5Msqui3WMTFwzcGDc2Gw6URNYq7u-h07nPCHS1Z0fSz1cJ"/>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lQya9EVnzKEBJhrUtCIZRBo0ULkc_R9a8sYE5NeHsbwG8AqgsTXFi7y04RwIppZ3uPDnhJ394CBbTdxJUNtTg4rLHi5Msqui3WMTFwzcGDc2Gw6URNYq7u-h07nPCHS1Z0fSz1cJ"/>
                  <pic:cNvPicPr preferRelativeResize="0"/>
                </pic:nvPicPr>
                <pic:blipFill>
                  <a:blip r:embed="rId1"/>
                  <a:srcRect/>
                  <a:stretch>
                    <a:fillRect/>
                  </a:stretch>
                </pic:blipFill>
                <pic:spPr>
                  <a:xfrm>
                    <a:off x="0" y="0"/>
                    <a:ext cx="285750" cy="333375"/>
                  </a:xfrm>
                  <a:prstGeom prst="rect">
                    <a:avLst/>
                  </a:prstGeom>
                  <a:ln/>
                </pic:spPr>
              </pic:pic>
            </a:graphicData>
          </a:graphic>
        </wp:anchor>
      </w:drawing>
    </w:r>
  </w:p>
  <w:p w:rsidR="00A151DD" w:rsidRDefault="003B395C">
    <w:pPr>
      <w:pBdr>
        <w:top w:val="nil"/>
        <w:left w:val="nil"/>
        <w:bottom w:val="nil"/>
        <w:right w:val="nil"/>
        <w:between w:val="nil"/>
      </w:pBdr>
      <w:tabs>
        <w:tab w:val="center" w:pos="4680"/>
        <w:tab w:val="right" w:pos="9360"/>
      </w:tabs>
      <w:spacing w:after="0" w:line="240" w:lineRule="auto"/>
      <w:ind w:left="-450"/>
      <w:rPr>
        <w:color w:val="000000"/>
        <w:sz w:val="18"/>
        <w:szCs w:val="18"/>
      </w:rPr>
    </w:pPr>
    <w:r>
      <w:rPr>
        <w:color w:val="000000"/>
        <w:sz w:val="18"/>
        <w:szCs w:val="18"/>
      </w:rPr>
      <w:t>CCW Form 1</w:t>
    </w:r>
    <w:r w:rsidR="00B55775">
      <w:rPr>
        <w:color w:val="000000"/>
        <w:sz w:val="18"/>
        <w:szCs w:val="18"/>
      </w:rPr>
      <w:t>6</w:t>
    </w:r>
    <w:r>
      <w:rPr>
        <w:color w:val="000000"/>
        <w:sz w:val="18"/>
        <w:szCs w:val="18"/>
      </w:rPr>
      <w:t xml:space="preserve"> – Transition Setup Expenses Request Worksheet </w:t>
    </w:r>
    <w:r>
      <w:rPr>
        <w:color w:val="3B9136"/>
        <w:sz w:val="18"/>
        <w:szCs w:val="18"/>
      </w:rPr>
      <w:t>---</w:t>
    </w:r>
    <w:r>
      <w:rPr>
        <w:color w:val="000000"/>
        <w:sz w:val="18"/>
        <w:szCs w:val="18"/>
      </w:rPr>
      <w:t xml:space="preserve"> 4/2023   BES</w:t>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B55775">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8C" w:rsidRDefault="00402C8C">
      <w:pPr>
        <w:spacing w:after="0" w:line="240" w:lineRule="auto"/>
      </w:pPr>
      <w:r>
        <w:separator/>
      </w:r>
    </w:p>
  </w:footnote>
  <w:footnote w:type="continuationSeparator" w:id="0">
    <w:p w:rsidR="00402C8C" w:rsidRDefault="00402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DD" w:rsidRDefault="003B395C">
    <w:pPr>
      <w:pBdr>
        <w:top w:val="nil"/>
        <w:left w:val="nil"/>
        <w:bottom w:val="nil"/>
        <w:right w:val="nil"/>
        <w:between w:val="nil"/>
      </w:pBdr>
      <w:spacing w:before="240" w:after="0" w:line="240" w:lineRule="auto"/>
      <w:ind w:left="-450"/>
      <w:rPr>
        <w:rFonts w:ascii="Times New Roman" w:eastAsia="Times New Roman" w:hAnsi="Times New Roman" w:cs="Times New Roman"/>
        <w:color w:val="000000"/>
        <w:sz w:val="24"/>
        <w:szCs w:val="24"/>
      </w:rPr>
    </w:pPr>
    <w:r>
      <w:rPr>
        <w:rFonts w:ascii="Verdana" w:eastAsia="Verdana" w:hAnsi="Verdana" w:cs="Verdana"/>
        <w:color w:val="3B9136"/>
        <w:sz w:val="48"/>
        <w:szCs w:val="48"/>
      </w:rPr>
      <w:t>CCW Transition Setup Expenses</w:t>
    </w:r>
    <w:r>
      <w:rPr>
        <w:noProof/>
      </w:rPr>
      <w:drawing>
        <wp:anchor distT="0" distB="0" distL="114300" distR="114300" simplePos="0" relativeHeight="251658240" behindDoc="0" locked="0" layoutInCell="1" hidden="0" allowOverlap="1">
          <wp:simplePos x="0" y="0"/>
          <wp:positionH relativeFrom="column">
            <wp:posOffset>5324475</wp:posOffset>
          </wp:positionH>
          <wp:positionV relativeFrom="paragraph">
            <wp:posOffset>0</wp:posOffset>
          </wp:positionV>
          <wp:extent cx="1152525" cy="638175"/>
          <wp:effectExtent l="0" t="0" r="0" b="0"/>
          <wp:wrapNone/>
          <wp:docPr id="7" name="image2.png" descr="https://lh5.googleusercontent.com/oAZOTcZaeUZEkQAB-tZuCl-IqAc-mzyrPMD6DZsUaXFgX5M3Vt_PZ8-XRUYQh22BNipTGg5fqpiw4zvwopVDcvD0NHBBK2pBjAWWO65-mp1Es8piwnP446YYEz0Les8WjGroHa97"/>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oAZOTcZaeUZEkQAB-tZuCl-IqAc-mzyrPMD6DZsUaXFgX5M3Vt_PZ8-XRUYQh22BNipTGg5fqpiw4zvwopVDcvD0NHBBK2pBjAWWO65-mp1Es8piwnP446YYEz0Les8WjGroHa97"/>
                  <pic:cNvPicPr preferRelativeResize="0"/>
                </pic:nvPicPr>
                <pic:blipFill>
                  <a:blip r:embed="rId1"/>
                  <a:srcRect/>
                  <a:stretch>
                    <a:fillRect/>
                  </a:stretch>
                </pic:blipFill>
                <pic:spPr>
                  <a:xfrm>
                    <a:off x="0" y="0"/>
                    <a:ext cx="1152525" cy="638175"/>
                  </a:xfrm>
                  <a:prstGeom prst="rect">
                    <a:avLst/>
                  </a:prstGeom>
                  <a:ln/>
                </pic:spPr>
              </pic:pic>
            </a:graphicData>
          </a:graphic>
        </wp:anchor>
      </w:drawing>
    </w:r>
  </w:p>
  <w:p w:rsidR="00A151DD" w:rsidRDefault="003B395C">
    <w:pPr>
      <w:pBdr>
        <w:top w:val="nil"/>
        <w:left w:val="nil"/>
        <w:bottom w:val="nil"/>
        <w:right w:val="nil"/>
        <w:between w:val="nil"/>
      </w:pBdr>
      <w:spacing w:after="0" w:line="240" w:lineRule="auto"/>
      <w:ind w:left="-450"/>
      <w:rPr>
        <w:rFonts w:ascii="Times New Roman" w:eastAsia="Times New Roman" w:hAnsi="Times New Roman" w:cs="Times New Roman"/>
        <w:color w:val="000000"/>
        <w:sz w:val="24"/>
        <w:szCs w:val="24"/>
      </w:rPr>
    </w:pPr>
    <w:r>
      <w:rPr>
        <w:rFonts w:ascii="Verdana" w:eastAsia="Verdana" w:hAnsi="Verdana" w:cs="Verdana"/>
        <w:color w:val="3B9136"/>
        <w:sz w:val="48"/>
        <w:szCs w:val="48"/>
      </w:rPr>
      <w:t>Request Worksheet</w:t>
    </w:r>
  </w:p>
  <w:p w:rsidR="00A151DD" w:rsidRDefault="00402C8C">
    <w:pPr>
      <w:pBdr>
        <w:top w:val="nil"/>
        <w:left w:val="nil"/>
        <w:bottom w:val="nil"/>
        <w:right w:val="nil"/>
        <w:between w:val="nil"/>
      </w:pBdr>
      <w:tabs>
        <w:tab w:val="center" w:pos="4680"/>
        <w:tab w:val="right" w:pos="9360"/>
      </w:tabs>
      <w:spacing w:after="0" w:line="240" w:lineRule="auto"/>
      <w:ind w:left="-450" w:right="-720"/>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E0C01"/>
    <w:multiLevelType w:val="multilevel"/>
    <w:tmpl w:val="4858A4D6"/>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JkcWWxRXNMNn+2TcSnQ76ohBewQarHeMCyqXFfqm4SkaaeVeQrXiF9DbAffKUslY5i/KiLKDfKVuDBGEhzUDQ==" w:salt="235pGIcvnRNwwSaS0QBv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DD"/>
    <w:rsid w:val="003B395C"/>
    <w:rsid w:val="00402C8C"/>
    <w:rsid w:val="0047030A"/>
    <w:rsid w:val="00A151DD"/>
    <w:rsid w:val="00B5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06589-AAD3-4A83-ACE9-3FAD6A24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F6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14"/>
  </w:style>
  <w:style w:type="paragraph" w:styleId="Footer">
    <w:name w:val="footer"/>
    <w:basedOn w:val="Normal"/>
    <w:link w:val="FooterChar"/>
    <w:uiPriority w:val="99"/>
    <w:unhideWhenUsed/>
    <w:rsid w:val="00BF6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14"/>
  </w:style>
  <w:style w:type="paragraph" w:styleId="NormalWeb">
    <w:name w:val="Normal (Web)"/>
    <w:basedOn w:val="Normal"/>
    <w:uiPriority w:val="99"/>
    <w:unhideWhenUsed/>
    <w:rsid w:val="00BF63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F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314"/>
    <w:pPr>
      <w:ind w:left="720"/>
      <w:contextualSpacing/>
    </w:pPr>
  </w:style>
  <w:style w:type="character" w:styleId="PlaceholderText">
    <w:name w:val="Placeholder Text"/>
    <w:basedOn w:val="DefaultParagraphFont"/>
    <w:uiPriority w:val="99"/>
    <w:semiHidden/>
    <w:rsid w:val="009635D2"/>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70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FA3445B61944ACADFF11CA9326146A"/>
        <w:category>
          <w:name w:val="General"/>
          <w:gallery w:val="placeholder"/>
        </w:category>
        <w:types>
          <w:type w:val="bbPlcHdr"/>
        </w:types>
        <w:behaviors>
          <w:behavior w:val="content"/>
        </w:behaviors>
        <w:guid w:val="{9781CDA8-6E5A-4050-841C-65D747B412C9}"/>
      </w:docPartPr>
      <w:docPartBody>
        <w:p w:rsidR="00E607C6" w:rsidRDefault="003C6E92" w:rsidP="003C6E92">
          <w:pPr>
            <w:pStyle w:val="96FA3445B61944ACADFF11CA9326146A"/>
          </w:pPr>
          <w:r w:rsidRPr="0047030A">
            <w:rPr>
              <w:rFonts w:ascii="Calibri" w:hAnsi="Calibri" w:cs="Calibri"/>
            </w:rPr>
            <w:t xml:space="preserve"> </w:t>
          </w:r>
        </w:p>
      </w:docPartBody>
    </w:docPart>
    <w:docPart>
      <w:docPartPr>
        <w:name w:val="801DB815A13F47C6A90970E0C14524EB"/>
        <w:category>
          <w:name w:val="General"/>
          <w:gallery w:val="placeholder"/>
        </w:category>
        <w:types>
          <w:type w:val="bbPlcHdr"/>
        </w:types>
        <w:behaviors>
          <w:behavior w:val="content"/>
        </w:behaviors>
        <w:guid w:val="{F5A24BC0-93A3-44C3-8A6C-AE184175B02D}"/>
      </w:docPartPr>
      <w:docPartBody>
        <w:p w:rsidR="00E607C6" w:rsidRDefault="003C6E92" w:rsidP="003C6E92">
          <w:pPr>
            <w:pStyle w:val="801DB815A13F47C6A90970E0C14524EB"/>
          </w:pPr>
          <w:r w:rsidRPr="0047030A">
            <w:rPr>
              <w:rFonts w:ascii="Calibri" w:hAnsi="Calibri" w:cs="Calibri"/>
            </w:rPr>
            <w:t xml:space="preserve"> </w:t>
          </w:r>
        </w:p>
      </w:docPartBody>
    </w:docPart>
    <w:docPart>
      <w:docPartPr>
        <w:name w:val="AEDFFCA956D246EA88BE5073CB356A07"/>
        <w:category>
          <w:name w:val="General"/>
          <w:gallery w:val="placeholder"/>
        </w:category>
        <w:types>
          <w:type w:val="bbPlcHdr"/>
        </w:types>
        <w:behaviors>
          <w:behavior w:val="content"/>
        </w:behaviors>
        <w:guid w:val="{8C9E5415-CEDF-43DB-9CFC-5049FAAA6915}"/>
      </w:docPartPr>
      <w:docPartBody>
        <w:p w:rsidR="00E607C6" w:rsidRDefault="003C6E92" w:rsidP="003C6E92">
          <w:pPr>
            <w:pStyle w:val="AEDFFCA956D246EA88BE5073CB356A07"/>
          </w:pPr>
          <w:r w:rsidRPr="0047030A">
            <w:rPr>
              <w:rFonts w:ascii="Calibri" w:hAnsi="Calibri" w:cs="Calibri"/>
            </w:rPr>
            <w:t xml:space="preserve"> </w:t>
          </w:r>
        </w:p>
      </w:docPartBody>
    </w:docPart>
    <w:docPart>
      <w:docPartPr>
        <w:name w:val="6DF4F1ADFEFB489FB1D779A26A0DE357"/>
        <w:category>
          <w:name w:val="General"/>
          <w:gallery w:val="placeholder"/>
        </w:category>
        <w:types>
          <w:type w:val="bbPlcHdr"/>
        </w:types>
        <w:behaviors>
          <w:behavior w:val="content"/>
        </w:behaviors>
        <w:guid w:val="{E1CE0108-EA20-40C1-B4EA-03CA56BEDB64}"/>
      </w:docPartPr>
      <w:docPartBody>
        <w:p w:rsidR="00E607C6" w:rsidRDefault="003C6E92" w:rsidP="003C6E92">
          <w:pPr>
            <w:pStyle w:val="6DF4F1ADFEFB489FB1D779A26A0DE357"/>
          </w:pPr>
          <w:r w:rsidRPr="0047030A">
            <w:rPr>
              <w:rFonts w:ascii="Calibri" w:hAnsi="Calibri" w:cs="Calibri"/>
            </w:rPr>
            <w:t xml:space="preserve"> </w:t>
          </w:r>
        </w:p>
      </w:docPartBody>
    </w:docPart>
    <w:docPart>
      <w:docPartPr>
        <w:name w:val="DD6FFC167CC5435797FA985A1465DF33"/>
        <w:category>
          <w:name w:val="General"/>
          <w:gallery w:val="placeholder"/>
        </w:category>
        <w:types>
          <w:type w:val="bbPlcHdr"/>
        </w:types>
        <w:behaviors>
          <w:behavior w:val="content"/>
        </w:behaviors>
        <w:guid w:val="{A9A94BA9-42A1-44A2-9AE3-D835121A30FE}"/>
      </w:docPartPr>
      <w:docPartBody>
        <w:p w:rsidR="00E607C6" w:rsidRDefault="003C6E92" w:rsidP="003C6E92">
          <w:pPr>
            <w:pStyle w:val="DD6FFC167CC5435797FA985A1465DF33"/>
          </w:pPr>
          <w:r w:rsidRPr="0047030A">
            <w:rPr>
              <w:rFonts w:ascii="Calibri" w:hAnsi="Calibri" w:cs="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92"/>
    <w:rsid w:val="003C6E92"/>
    <w:rsid w:val="00783041"/>
    <w:rsid w:val="00792608"/>
    <w:rsid w:val="00E6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E92"/>
    <w:rPr>
      <w:color w:val="808080"/>
    </w:rPr>
  </w:style>
  <w:style w:type="paragraph" w:customStyle="1" w:styleId="EC2C92200EAB4DCC9AD61B1981C73C12">
    <w:name w:val="EC2C92200EAB4DCC9AD61B1981C73C12"/>
    <w:rsid w:val="003C6E92"/>
  </w:style>
  <w:style w:type="paragraph" w:customStyle="1" w:styleId="96FA3445B61944ACADFF11CA9326146A">
    <w:name w:val="96FA3445B61944ACADFF11CA9326146A"/>
    <w:rsid w:val="003C6E92"/>
  </w:style>
  <w:style w:type="paragraph" w:customStyle="1" w:styleId="801DB815A13F47C6A90970E0C14524EB">
    <w:name w:val="801DB815A13F47C6A90970E0C14524EB"/>
    <w:rsid w:val="003C6E92"/>
  </w:style>
  <w:style w:type="paragraph" w:customStyle="1" w:styleId="FCE47357DF2548A4AD79E159EE9C5232">
    <w:name w:val="FCE47357DF2548A4AD79E159EE9C5232"/>
    <w:rsid w:val="003C6E92"/>
  </w:style>
  <w:style w:type="paragraph" w:customStyle="1" w:styleId="6AF75481935248DAA4E1AFDCD2E19F0A">
    <w:name w:val="6AF75481935248DAA4E1AFDCD2E19F0A"/>
    <w:rsid w:val="003C6E92"/>
  </w:style>
  <w:style w:type="paragraph" w:customStyle="1" w:styleId="AEDFFCA956D246EA88BE5073CB356A07">
    <w:name w:val="AEDFFCA956D246EA88BE5073CB356A07"/>
    <w:rsid w:val="003C6E92"/>
  </w:style>
  <w:style w:type="paragraph" w:customStyle="1" w:styleId="6DF4F1ADFEFB489FB1D779A26A0DE357">
    <w:name w:val="6DF4F1ADFEFB489FB1D779A26A0DE357"/>
    <w:rsid w:val="003C6E92"/>
  </w:style>
  <w:style w:type="paragraph" w:customStyle="1" w:styleId="DD6FFC167CC5435797FA985A1465DF33">
    <w:name w:val="DD6FFC167CC5435797FA985A1465DF33"/>
    <w:rsid w:val="003C6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tlmFYIWttEKhHnxQIf2iEUi9Bw==">AMUW2mVptg6BOqLQjMpi7IEmNMOi7Bnuc48Xqzj0wqmpnitfw5OV6dRg0VWr+c5RQ4n5cHE+/fuFIbcTcP6S7V+Wy81NSz3qL027oCTY4P/vcK74+Esa4j8=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1943</Characters>
  <Application>Microsoft Office Word</Application>
  <DocSecurity>0</DocSecurity>
  <Lines>16</Lines>
  <Paragraphs>4</Paragraphs>
  <ScaleCrop>false</ScaleCrop>
  <Company>State Of Wyoming</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Shirley</dc:creator>
  <cp:lastModifiedBy>Pratt, Shirley</cp:lastModifiedBy>
  <cp:revision>4</cp:revision>
  <dcterms:created xsi:type="dcterms:W3CDTF">2023-02-06T09:47:00Z</dcterms:created>
  <dcterms:modified xsi:type="dcterms:W3CDTF">2023-03-15T13:58:00Z</dcterms:modified>
</cp:coreProperties>
</file>