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37F" w14:textId="00331BEE" w:rsidR="00CB4099" w:rsidRPr="004A2F9B" w:rsidRDefault="004A2F9B" w:rsidP="00CB4099">
      <w:pPr>
        <w:spacing w:before="12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A2F9B">
        <w:rPr>
          <w:rFonts w:ascii="Arial" w:hAnsi="Arial" w:cs="Arial"/>
          <w:b/>
          <w:bCs/>
          <w:color w:val="000000"/>
          <w:sz w:val="32"/>
          <w:szCs w:val="32"/>
        </w:rPr>
        <w:t xml:space="preserve">Guidance for </w:t>
      </w:r>
      <w:bookmarkStart w:id="0" w:name="_Hlk125542365"/>
      <w:r w:rsidRPr="004A2F9B">
        <w:rPr>
          <w:rFonts w:ascii="Arial" w:hAnsi="Arial" w:cs="Arial"/>
          <w:b/>
          <w:bCs/>
          <w:color w:val="000000"/>
          <w:sz w:val="32"/>
          <w:szCs w:val="32"/>
        </w:rPr>
        <w:t xml:space="preserve">Speech, Language, and Hearing Services </w:t>
      </w:r>
      <w:bookmarkEnd w:id="0"/>
      <w:r w:rsidRPr="004A2F9B">
        <w:rPr>
          <w:rFonts w:ascii="Arial" w:hAnsi="Arial" w:cs="Arial"/>
          <w:b/>
          <w:bCs/>
          <w:color w:val="000000"/>
          <w:sz w:val="32"/>
          <w:szCs w:val="32"/>
        </w:rPr>
        <w:t xml:space="preserve">in the Wyoming </w:t>
      </w:r>
      <w:r w:rsidR="00CB4099" w:rsidRPr="004A2F9B">
        <w:rPr>
          <w:rFonts w:ascii="Arial" w:hAnsi="Arial" w:cs="Arial"/>
          <w:b/>
          <w:bCs/>
          <w:color w:val="000000"/>
          <w:sz w:val="32"/>
          <w:szCs w:val="32"/>
        </w:rPr>
        <w:t>School-Based Services Program</w:t>
      </w:r>
    </w:p>
    <w:p w14:paraId="49667D63" w14:textId="77777777" w:rsidR="00CB4099" w:rsidRDefault="00CB4099" w:rsidP="00385654">
      <w:pPr>
        <w:spacing w:before="120" w:after="120"/>
        <w:rPr>
          <w:rFonts w:ascii="Arial" w:hAnsi="Arial" w:cs="Arial"/>
          <w:b/>
          <w:bCs/>
          <w:color w:val="000000"/>
        </w:rPr>
      </w:pPr>
    </w:p>
    <w:p w14:paraId="6DDF82BC" w14:textId="31489AC6" w:rsidR="004553D5" w:rsidRPr="004553D5" w:rsidRDefault="004553D5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</w:t>
      </w:r>
      <w:r w:rsidRPr="004553D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OVERVIEW</w:t>
      </w:r>
    </w:p>
    <w:p w14:paraId="76759707" w14:textId="495C3CE0" w:rsidR="00E679CC" w:rsidRDefault="004553D5" w:rsidP="00385654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Wyoming School-Based Services </w:t>
      </w:r>
      <w:r w:rsidR="00CB4099">
        <w:rPr>
          <w:rFonts w:ascii="Arial" w:hAnsi="Arial" w:cs="Arial"/>
          <w:color w:val="000000"/>
        </w:rPr>
        <w:t>(SBS) P</w:t>
      </w:r>
      <w:r>
        <w:rPr>
          <w:rFonts w:ascii="Arial" w:hAnsi="Arial" w:cs="Arial"/>
          <w:color w:val="000000"/>
        </w:rPr>
        <w:t xml:space="preserve">rogram was </w:t>
      </w:r>
      <w:r w:rsidR="005D3E07" w:rsidRPr="005D3E07">
        <w:rPr>
          <w:rFonts w:ascii="Arial" w:hAnsi="Arial" w:cs="Arial"/>
          <w:color w:val="000000"/>
        </w:rPr>
        <w:t xml:space="preserve">authorized through the </w:t>
      </w:r>
      <w:hyperlink r:id="rId8" w:history="1">
        <w:r w:rsidR="005D3E07" w:rsidRPr="005D3E07">
          <w:rPr>
            <w:rStyle w:val="Hyperlink"/>
            <w:rFonts w:ascii="Arial" w:hAnsi="Arial" w:cs="Arial"/>
          </w:rPr>
          <w:t>School-Based Services Act (SF0079).</w:t>
        </w:r>
      </w:hyperlink>
      <w:r w:rsidR="005D3E07">
        <w:rPr>
          <w:rFonts w:ascii="Arial" w:hAnsi="Arial" w:cs="Arial"/>
          <w:color w:val="000000"/>
        </w:rPr>
        <w:t xml:space="preserve"> </w:t>
      </w:r>
      <w:r w:rsidR="00CB22FC">
        <w:rPr>
          <w:rFonts w:ascii="Arial" w:hAnsi="Arial" w:cs="Arial"/>
          <w:color w:val="000000"/>
        </w:rPr>
        <w:t xml:space="preserve">The program </w:t>
      </w:r>
      <w:r w:rsidR="00BE172F">
        <w:rPr>
          <w:rFonts w:ascii="Arial" w:hAnsi="Arial" w:cs="Arial"/>
          <w:color w:val="000000"/>
        </w:rPr>
        <w:t xml:space="preserve">was </w:t>
      </w:r>
      <w:r>
        <w:rPr>
          <w:rFonts w:ascii="Arial" w:hAnsi="Arial" w:cs="Arial"/>
          <w:color w:val="000000"/>
        </w:rPr>
        <w:t xml:space="preserve">implemented </w:t>
      </w:r>
      <w:r w:rsidR="00BA25B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n July 2022 in collaboration with the Wyoming Department </w:t>
      </w:r>
      <w:r w:rsidR="00CB22FC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Health (WDH)</w:t>
      </w:r>
      <w:r w:rsidR="00706389">
        <w:rPr>
          <w:rFonts w:ascii="Arial" w:hAnsi="Arial" w:cs="Arial"/>
          <w:color w:val="000000"/>
        </w:rPr>
        <w:t xml:space="preserve"> and the Wyoming Department of Education (WDE)</w:t>
      </w:r>
      <w:r>
        <w:rPr>
          <w:rFonts w:ascii="Arial" w:hAnsi="Arial" w:cs="Arial"/>
          <w:color w:val="000000"/>
        </w:rPr>
        <w:t xml:space="preserve">. This program authorizes Local Education Agencies (LEAs) to </w:t>
      </w:r>
      <w:r w:rsidR="00BE172F">
        <w:rPr>
          <w:rFonts w:ascii="Arial" w:hAnsi="Arial" w:cs="Arial"/>
          <w:color w:val="000000"/>
        </w:rPr>
        <w:t>receive</w:t>
      </w:r>
      <w:r>
        <w:rPr>
          <w:rFonts w:ascii="Arial" w:hAnsi="Arial" w:cs="Arial"/>
          <w:color w:val="000000"/>
        </w:rPr>
        <w:t xml:space="preserve"> </w:t>
      </w:r>
      <w:r w:rsidR="00F8338D">
        <w:rPr>
          <w:rFonts w:ascii="Arial" w:hAnsi="Arial" w:cs="Arial"/>
          <w:color w:val="000000"/>
        </w:rPr>
        <w:t xml:space="preserve">Medicaid </w:t>
      </w:r>
      <w:r w:rsidR="00BE172F">
        <w:rPr>
          <w:rFonts w:ascii="Arial" w:hAnsi="Arial" w:cs="Arial"/>
          <w:color w:val="000000"/>
        </w:rPr>
        <w:t>reimbursement</w:t>
      </w:r>
      <w:r>
        <w:rPr>
          <w:rFonts w:ascii="Arial" w:hAnsi="Arial" w:cs="Arial"/>
          <w:color w:val="000000"/>
        </w:rPr>
        <w:t xml:space="preserve"> for </w:t>
      </w:r>
      <w:r w:rsidR="00F8338D">
        <w:rPr>
          <w:rFonts w:ascii="Arial" w:hAnsi="Arial" w:cs="Arial"/>
          <w:color w:val="000000"/>
        </w:rPr>
        <w:t xml:space="preserve">certain </w:t>
      </w:r>
      <w:r>
        <w:rPr>
          <w:rFonts w:ascii="Arial" w:hAnsi="Arial" w:cs="Arial"/>
          <w:color w:val="000000"/>
        </w:rPr>
        <w:t xml:space="preserve">health-related services provided by qualified practitioners to Medicaid </w:t>
      </w:r>
      <w:r w:rsidR="00CB22FC">
        <w:rPr>
          <w:rFonts w:ascii="Arial" w:hAnsi="Arial" w:cs="Arial"/>
          <w:color w:val="000000"/>
        </w:rPr>
        <w:t>e</w:t>
      </w:r>
      <w:r w:rsidR="00BE172F">
        <w:rPr>
          <w:rFonts w:ascii="Arial" w:hAnsi="Arial" w:cs="Arial"/>
          <w:color w:val="000000"/>
        </w:rPr>
        <w:t>nrolled</w:t>
      </w:r>
      <w:r>
        <w:rPr>
          <w:rFonts w:ascii="Arial" w:hAnsi="Arial" w:cs="Arial"/>
          <w:color w:val="000000"/>
        </w:rPr>
        <w:t xml:space="preserve"> students with an Individualized Education P</w:t>
      </w:r>
      <w:r w:rsidR="00BE172F">
        <w:rPr>
          <w:rFonts w:ascii="Arial" w:hAnsi="Arial" w:cs="Arial"/>
          <w:color w:val="000000"/>
        </w:rPr>
        <w:t>rogram</w:t>
      </w:r>
      <w:r>
        <w:rPr>
          <w:rFonts w:ascii="Arial" w:hAnsi="Arial" w:cs="Arial"/>
          <w:color w:val="000000"/>
        </w:rPr>
        <w:t xml:space="preserve"> </w:t>
      </w:r>
      <w:r w:rsidR="00CB4099">
        <w:rPr>
          <w:rFonts w:ascii="Arial" w:hAnsi="Arial" w:cs="Arial"/>
          <w:color w:val="000000"/>
        </w:rPr>
        <w:t xml:space="preserve">(IEP) </w:t>
      </w:r>
      <w:r>
        <w:rPr>
          <w:rFonts w:ascii="Arial" w:hAnsi="Arial" w:cs="Arial"/>
          <w:color w:val="000000"/>
        </w:rPr>
        <w:t>or I</w:t>
      </w:r>
      <w:r w:rsidRPr="004553D5">
        <w:rPr>
          <w:rFonts w:ascii="Arial" w:hAnsi="Arial" w:cs="Arial"/>
          <w:color w:val="000000"/>
        </w:rPr>
        <w:t xml:space="preserve">ndividualized Family Service </w:t>
      </w:r>
      <w:r>
        <w:rPr>
          <w:rFonts w:ascii="Arial" w:hAnsi="Arial" w:cs="Arial"/>
          <w:color w:val="000000"/>
        </w:rPr>
        <w:t xml:space="preserve">Plan (IFSP). </w:t>
      </w:r>
    </w:p>
    <w:p w14:paraId="0C574BAF" w14:textId="53DD227B" w:rsidR="00D22785" w:rsidRDefault="008E3F94" w:rsidP="00385654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eligible for Medicaid reimbursement, s</w:t>
      </w:r>
      <w:r w:rsidR="00B66D92" w:rsidRPr="00545ABD">
        <w:rPr>
          <w:rFonts w:ascii="Arial" w:hAnsi="Arial" w:cs="Arial"/>
          <w:color w:val="000000"/>
        </w:rPr>
        <w:t xml:space="preserve">ervices must </w:t>
      </w:r>
      <w:proofErr w:type="gramStart"/>
      <w:r w:rsidR="00B66D92" w:rsidRPr="00545ABD">
        <w:rPr>
          <w:rFonts w:ascii="Arial" w:hAnsi="Arial" w:cs="Arial"/>
          <w:color w:val="000000"/>
        </w:rPr>
        <w:t>be referred</w:t>
      </w:r>
      <w:proofErr w:type="gramEnd"/>
      <w:r w:rsidR="00B66D92" w:rsidRPr="00545ABD">
        <w:rPr>
          <w:rFonts w:ascii="Arial" w:hAnsi="Arial" w:cs="Arial"/>
          <w:color w:val="000000"/>
        </w:rPr>
        <w:t xml:space="preserve"> by a physician or other licensed practitioner of the healing arts</w:t>
      </w:r>
      <w:r w:rsidR="00B66D92">
        <w:rPr>
          <w:rFonts w:ascii="Arial" w:hAnsi="Arial" w:cs="Arial"/>
          <w:color w:val="000000"/>
        </w:rPr>
        <w:t xml:space="preserve"> </w:t>
      </w:r>
      <w:r w:rsidR="00B66D92" w:rsidRPr="00545ABD">
        <w:rPr>
          <w:rFonts w:ascii="Arial" w:hAnsi="Arial" w:cs="Arial"/>
          <w:color w:val="000000"/>
        </w:rPr>
        <w:t>within the scope of their practice under state law</w:t>
      </w:r>
      <w:r w:rsidR="007C3590">
        <w:rPr>
          <w:rFonts w:ascii="Arial" w:hAnsi="Arial" w:cs="Arial"/>
          <w:color w:val="000000"/>
        </w:rPr>
        <w:t xml:space="preserve"> and</w:t>
      </w:r>
      <w:r w:rsidR="00B66D92" w:rsidRPr="00545ABD">
        <w:rPr>
          <w:rFonts w:ascii="Arial" w:hAnsi="Arial" w:cs="Arial"/>
          <w:color w:val="000000"/>
        </w:rPr>
        <w:t xml:space="preserve"> </w:t>
      </w:r>
      <w:r w:rsidR="00FE0D7F">
        <w:rPr>
          <w:rFonts w:ascii="Arial" w:hAnsi="Arial" w:cs="Arial"/>
          <w:color w:val="000000"/>
        </w:rPr>
        <w:t>must be medically necessary</w:t>
      </w:r>
      <w:r w:rsidR="00B66D92" w:rsidRPr="00545ABD">
        <w:rPr>
          <w:rFonts w:ascii="Arial" w:hAnsi="Arial" w:cs="Arial"/>
          <w:color w:val="000000"/>
        </w:rPr>
        <w:t>.</w:t>
      </w:r>
      <w:r w:rsidR="00B66D92">
        <w:rPr>
          <w:rFonts w:ascii="Arial" w:hAnsi="Arial" w:cs="Arial"/>
          <w:color w:val="000000"/>
        </w:rPr>
        <w:t xml:space="preserve"> </w:t>
      </w:r>
      <w:r w:rsidR="00D22785">
        <w:rPr>
          <w:rFonts w:ascii="Arial" w:hAnsi="Arial" w:cs="Arial"/>
          <w:color w:val="000000"/>
        </w:rPr>
        <w:t>One of the service</w:t>
      </w:r>
      <w:r w:rsidR="00B911B0">
        <w:rPr>
          <w:rFonts w:ascii="Arial" w:hAnsi="Arial" w:cs="Arial"/>
          <w:color w:val="000000"/>
        </w:rPr>
        <w:t xml:space="preserve"> categories</w:t>
      </w:r>
      <w:r w:rsidR="00D22785">
        <w:rPr>
          <w:rFonts w:ascii="Arial" w:hAnsi="Arial" w:cs="Arial"/>
          <w:color w:val="000000"/>
        </w:rPr>
        <w:t xml:space="preserve"> eligible for reimbursement in the SBS program is </w:t>
      </w:r>
      <w:r w:rsidR="00B911B0">
        <w:rPr>
          <w:rFonts w:ascii="Arial" w:hAnsi="Arial" w:cs="Arial"/>
          <w:color w:val="000000"/>
        </w:rPr>
        <w:t>s</w:t>
      </w:r>
      <w:r w:rsidR="00B66D92">
        <w:rPr>
          <w:rFonts w:ascii="Arial" w:hAnsi="Arial" w:cs="Arial"/>
          <w:color w:val="000000"/>
        </w:rPr>
        <w:t>peech</w:t>
      </w:r>
      <w:r w:rsidR="00FE0D7F">
        <w:rPr>
          <w:rFonts w:ascii="Arial" w:hAnsi="Arial" w:cs="Arial"/>
          <w:color w:val="000000"/>
        </w:rPr>
        <w:t>, language</w:t>
      </w:r>
      <w:r w:rsidR="007C3590">
        <w:rPr>
          <w:rFonts w:ascii="Arial" w:hAnsi="Arial" w:cs="Arial"/>
          <w:color w:val="000000"/>
        </w:rPr>
        <w:t>,</w:t>
      </w:r>
      <w:r w:rsidR="00B66D92">
        <w:rPr>
          <w:rFonts w:ascii="Arial" w:hAnsi="Arial" w:cs="Arial"/>
          <w:color w:val="000000"/>
        </w:rPr>
        <w:t xml:space="preserve"> and</w:t>
      </w:r>
      <w:r w:rsidR="00FE0D7F">
        <w:rPr>
          <w:rFonts w:ascii="Arial" w:hAnsi="Arial" w:cs="Arial"/>
          <w:color w:val="000000"/>
        </w:rPr>
        <w:t xml:space="preserve"> h</w:t>
      </w:r>
      <w:r w:rsidR="00B66D92">
        <w:rPr>
          <w:rFonts w:ascii="Arial" w:hAnsi="Arial" w:cs="Arial"/>
          <w:color w:val="000000"/>
        </w:rPr>
        <w:t xml:space="preserve">earing </w:t>
      </w:r>
      <w:r w:rsidR="00FE0D7F">
        <w:rPr>
          <w:rFonts w:ascii="Arial" w:hAnsi="Arial" w:cs="Arial"/>
          <w:color w:val="000000"/>
        </w:rPr>
        <w:t>s</w:t>
      </w:r>
      <w:r w:rsidR="00B66D92">
        <w:rPr>
          <w:rFonts w:ascii="Arial" w:hAnsi="Arial" w:cs="Arial"/>
          <w:color w:val="000000"/>
        </w:rPr>
        <w:t>ervices</w:t>
      </w:r>
      <w:r w:rsidR="00D22785">
        <w:rPr>
          <w:rFonts w:ascii="Arial" w:hAnsi="Arial" w:cs="Arial"/>
          <w:color w:val="000000"/>
        </w:rPr>
        <w:t>.</w:t>
      </w:r>
    </w:p>
    <w:p w14:paraId="729830D8" w14:textId="45C231BC" w:rsidR="00B66D92" w:rsidRDefault="00D16DB7" w:rsidP="00385654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document is a resource guide to support the </w:t>
      </w:r>
      <w:bookmarkStart w:id="1" w:name="_Hlk125701415"/>
      <w:r>
        <w:rPr>
          <w:rFonts w:ascii="Arial" w:hAnsi="Arial" w:cs="Arial"/>
          <w:color w:val="000000"/>
        </w:rPr>
        <w:t xml:space="preserve">speech, language, and hearing providers </w:t>
      </w:r>
      <w:bookmarkEnd w:id="1"/>
      <w:r>
        <w:rPr>
          <w:rFonts w:ascii="Arial" w:hAnsi="Arial" w:cs="Arial"/>
          <w:color w:val="000000"/>
        </w:rPr>
        <w:t>who deliver services through the Wyoming SBS Program.</w:t>
      </w:r>
      <w:r w:rsidR="004957EC">
        <w:rPr>
          <w:rFonts w:ascii="Arial" w:hAnsi="Arial" w:cs="Arial"/>
          <w:color w:val="000000"/>
        </w:rPr>
        <w:t xml:space="preserve"> Additional information regarding the Wyoming SBS Program can be found in the </w:t>
      </w:r>
      <w:hyperlink r:id="rId9" w:history="1">
        <w:r w:rsidR="004957EC" w:rsidRPr="004957EC">
          <w:rPr>
            <w:rStyle w:val="Hyperlink"/>
            <w:rFonts w:ascii="Arial" w:hAnsi="Arial" w:cs="Arial"/>
          </w:rPr>
          <w:t>Wyoming SBS Program Provider Manual</w:t>
        </w:r>
      </w:hyperlink>
      <w:r w:rsidR="004957EC">
        <w:rPr>
          <w:rFonts w:ascii="Arial" w:hAnsi="Arial" w:cs="Arial"/>
          <w:color w:val="000000"/>
        </w:rPr>
        <w:t>. Additional</w:t>
      </w:r>
      <w:r w:rsidR="001D40BB">
        <w:rPr>
          <w:rFonts w:ascii="Arial" w:hAnsi="Arial" w:cs="Arial"/>
          <w:color w:val="000000"/>
        </w:rPr>
        <w:t xml:space="preserve"> resources</w:t>
      </w:r>
      <w:r w:rsidR="004957EC">
        <w:rPr>
          <w:rFonts w:ascii="Arial" w:hAnsi="Arial" w:cs="Arial"/>
          <w:color w:val="000000"/>
        </w:rPr>
        <w:t xml:space="preserve"> </w:t>
      </w:r>
      <w:r w:rsidR="00B911B0">
        <w:rPr>
          <w:rFonts w:ascii="Arial" w:hAnsi="Arial" w:cs="Arial"/>
          <w:color w:val="000000"/>
        </w:rPr>
        <w:t>for</w:t>
      </w:r>
      <w:r w:rsidR="004957EC">
        <w:rPr>
          <w:rFonts w:ascii="Arial" w:hAnsi="Arial" w:cs="Arial"/>
          <w:color w:val="000000"/>
        </w:rPr>
        <w:t xml:space="preserve"> </w:t>
      </w:r>
      <w:r w:rsidR="004957EC" w:rsidRPr="004957EC">
        <w:rPr>
          <w:rFonts w:ascii="Arial" w:hAnsi="Arial" w:cs="Arial"/>
          <w:color w:val="000000"/>
        </w:rPr>
        <w:t>speech, language, and hearing providers</w:t>
      </w:r>
      <w:r w:rsidR="001D40BB">
        <w:rPr>
          <w:rFonts w:ascii="Arial" w:hAnsi="Arial" w:cs="Arial"/>
          <w:color w:val="000000"/>
        </w:rPr>
        <w:t xml:space="preserve"> </w:t>
      </w:r>
      <w:proofErr w:type="gramStart"/>
      <w:r w:rsidR="00D56790">
        <w:rPr>
          <w:rFonts w:ascii="Arial" w:hAnsi="Arial" w:cs="Arial"/>
          <w:color w:val="000000"/>
        </w:rPr>
        <w:t xml:space="preserve">are </w:t>
      </w:r>
      <w:r w:rsidR="00B338ED">
        <w:rPr>
          <w:rFonts w:ascii="Arial" w:hAnsi="Arial" w:cs="Arial"/>
          <w:color w:val="000000"/>
        </w:rPr>
        <w:t>highlighted</w:t>
      </w:r>
      <w:proofErr w:type="gramEnd"/>
      <w:r w:rsidR="00B338ED">
        <w:rPr>
          <w:rFonts w:ascii="Arial" w:hAnsi="Arial" w:cs="Arial"/>
          <w:color w:val="000000"/>
        </w:rPr>
        <w:t xml:space="preserve"> below.</w:t>
      </w:r>
    </w:p>
    <w:p w14:paraId="43512937" w14:textId="77777777" w:rsidR="00AB1BB9" w:rsidRDefault="00AB1BB9" w:rsidP="00385654">
      <w:pPr>
        <w:spacing w:before="120" w:after="120"/>
        <w:rPr>
          <w:rFonts w:ascii="Arial" w:hAnsi="Arial" w:cs="Arial"/>
          <w:b/>
          <w:bCs/>
          <w:color w:val="000000"/>
        </w:rPr>
      </w:pPr>
    </w:p>
    <w:p w14:paraId="09BF5930" w14:textId="2E4FB7F6" w:rsidR="004A2F9B" w:rsidRDefault="004A2F9B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SPEECH, LANGUAGE, AND HEARING SERVICES </w:t>
      </w:r>
    </w:p>
    <w:p w14:paraId="2E8DE668" w14:textId="68B257F6" w:rsidR="00B66D92" w:rsidRDefault="00B66D92" w:rsidP="00545ABD">
      <w:pPr>
        <w:spacing w:before="120" w:after="120"/>
        <w:rPr>
          <w:rFonts w:ascii="Arial" w:hAnsi="Arial" w:cs="Arial"/>
          <w:color w:val="000000"/>
        </w:rPr>
      </w:pPr>
      <w:r w:rsidRPr="00545ABD">
        <w:rPr>
          <w:rFonts w:ascii="Arial" w:hAnsi="Arial" w:cs="Arial"/>
          <w:color w:val="000000"/>
        </w:rPr>
        <w:t>Speech</w:t>
      </w:r>
      <w:r w:rsidR="001D40BB">
        <w:rPr>
          <w:rFonts w:ascii="Arial" w:hAnsi="Arial" w:cs="Arial"/>
          <w:color w:val="000000"/>
        </w:rPr>
        <w:t>, l</w:t>
      </w:r>
      <w:r w:rsidRPr="00545ABD">
        <w:rPr>
          <w:rFonts w:ascii="Arial" w:hAnsi="Arial" w:cs="Arial"/>
          <w:color w:val="000000"/>
        </w:rPr>
        <w:t>anguage</w:t>
      </w:r>
      <w:r w:rsidR="001D40BB">
        <w:rPr>
          <w:rFonts w:ascii="Arial" w:hAnsi="Arial" w:cs="Arial"/>
          <w:color w:val="000000"/>
        </w:rPr>
        <w:t>,</w:t>
      </w:r>
      <w:r w:rsidRPr="00545ABD">
        <w:rPr>
          <w:rFonts w:ascii="Arial" w:hAnsi="Arial" w:cs="Arial"/>
          <w:color w:val="000000"/>
        </w:rPr>
        <w:t xml:space="preserve"> and </w:t>
      </w:r>
      <w:r w:rsidR="001D40BB">
        <w:rPr>
          <w:rFonts w:ascii="Arial" w:hAnsi="Arial" w:cs="Arial"/>
          <w:color w:val="000000"/>
        </w:rPr>
        <w:t>h</w:t>
      </w:r>
      <w:r w:rsidRPr="00545ABD">
        <w:rPr>
          <w:rFonts w:ascii="Arial" w:hAnsi="Arial" w:cs="Arial"/>
          <w:color w:val="000000"/>
        </w:rPr>
        <w:t xml:space="preserve">earing </w:t>
      </w:r>
      <w:r w:rsidR="001D40BB">
        <w:rPr>
          <w:rFonts w:ascii="Arial" w:hAnsi="Arial" w:cs="Arial"/>
          <w:color w:val="000000"/>
        </w:rPr>
        <w:t>s</w:t>
      </w:r>
      <w:r w:rsidRPr="00545ABD">
        <w:rPr>
          <w:rFonts w:ascii="Arial" w:hAnsi="Arial" w:cs="Arial"/>
          <w:color w:val="000000"/>
        </w:rPr>
        <w:t xml:space="preserve">ervices are </w:t>
      </w:r>
      <w:r>
        <w:rPr>
          <w:rFonts w:ascii="Arial" w:hAnsi="Arial" w:cs="Arial"/>
          <w:color w:val="000000"/>
        </w:rPr>
        <w:t xml:space="preserve">services provided </w:t>
      </w:r>
      <w:r w:rsidRPr="00545ABD">
        <w:rPr>
          <w:rFonts w:ascii="Arial" w:hAnsi="Arial" w:cs="Arial"/>
          <w:color w:val="000000"/>
        </w:rPr>
        <w:t>for the diagnosis and treatment of speech and language disorders, which result in communication disabilities, and for the diagnosis and treatment of swallowing disorders (dysphagia), regardless of the presence of a communication disability. Audiology services are for the diagnosis and treatment of issues effecting hearing and balance, including hearing loss</w:t>
      </w:r>
      <w:r w:rsidR="0078797C">
        <w:rPr>
          <w:rFonts w:ascii="Arial" w:hAnsi="Arial" w:cs="Arial"/>
          <w:color w:val="000000"/>
        </w:rPr>
        <w:t xml:space="preserve"> to</w:t>
      </w:r>
      <w:r w:rsidRPr="00545ABD">
        <w:rPr>
          <w:rFonts w:ascii="Arial" w:hAnsi="Arial" w:cs="Arial"/>
          <w:color w:val="000000"/>
        </w:rPr>
        <w:t xml:space="preserve"> evaluate and treat hearing, balance, and tinnitus disorders.</w:t>
      </w:r>
    </w:p>
    <w:p w14:paraId="72073F53" w14:textId="105355F3" w:rsidR="00545ABD" w:rsidRPr="00545ABD" w:rsidRDefault="00545ABD" w:rsidP="00545ABD">
      <w:pPr>
        <w:spacing w:before="120" w:after="120"/>
        <w:rPr>
          <w:rFonts w:ascii="Arial" w:hAnsi="Arial" w:cs="Arial"/>
          <w:color w:val="000000"/>
        </w:rPr>
      </w:pPr>
      <w:r w:rsidRPr="00545ABD">
        <w:rPr>
          <w:rFonts w:ascii="Arial" w:hAnsi="Arial" w:cs="Arial"/>
          <w:color w:val="000000"/>
        </w:rPr>
        <w:t>Services may include the direct</w:t>
      </w:r>
      <w:r>
        <w:rPr>
          <w:rFonts w:ascii="Arial" w:hAnsi="Arial" w:cs="Arial"/>
          <w:color w:val="000000"/>
        </w:rPr>
        <w:t xml:space="preserve"> </w:t>
      </w:r>
      <w:r w:rsidRPr="00545ABD">
        <w:rPr>
          <w:rFonts w:ascii="Arial" w:hAnsi="Arial" w:cs="Arial"/>
          <w:color w:val="000000"/>
        </w:rPr>
        <w:t>assistance with the selection, acquisition, training, or use of an assistive technology device.</w:t>
      </w:r>
      <w:r>
        <w:rPr>
          <w:rFonts w:ascii="Arial" w:hAnsi="Arial" w:cs="Arial"/>
          <w:color w:val="000000"/>
        </w:rPr>
        <w:t xml:space="preserve"> </w:t>
      </w:r>
      <w:r w:rsidRPr="00545ABD">
        <w:rPr>
          <w:rFonts w:ascii="Arial" w:hAnsi="Arial" w:cs="Arial"/>
          <w:color w:val="000000"/>
        </w:rPr>
        <w:t xml:space="preserve">Speech services may </w:t>
      </w:r>
      <w:proofErr w:type="gramStart"/>
      <w:r w:rsidRPr="00545ABD">
        <w:rPr>
          <w:rFonts w:ascii="Arial" w:hAnsi="Arial" w:cs="Arial"/>
          <w:color w:val="000000"/>
        </w:rPr>
        <w:t>be provided</w:t>
      </w:r>
      <w:proofErr w:type="gramEnd"/>
      <w:r w:rsidRPr="00545ABD">
        <w:rPr>
          <w:rFonts w:ascii="Arial" w:hAnsi="Arial" w:cs="Arial"/>
          <w:color w:val="000000"/>
        </w:rPr>
        <w:t xml:space="preserve"> in an individual or group setting. Services may include, but </w:t>
      </w:r>
      <w:proofErr w:type="gramStart"/>
      <w:r w:rsidRPr="00545ABD">
        <w:rPr>
          <w:rFonts w:ascii="Arial" w:hAnsi="Arial" w:cs="Arial"/>
          <w:color w:val="000000"/>
        </w:rPr>
        <w:t>are not</w:t>
      </w:r>
      <w:r>
        <w:rPr>
          <w:rFonts w:ascii="Arial" w:hAnsi="Arial" w:cs="Arial"/>
          <w:color w:val="000000"/>
        </w:rPr>
        <w:t xml:space="preserve"> </w:t>
      </w:r>
      <w:r w:rsidRPr="00545ABD">
        <w:rPr>
          <w:rFonts w:ascii="Arial" w:hAnsi="Arial" w:cs="Arial"/>
          <w:color w:val="000000"/>
        </w:rPr>
        <w:t>limited</w:t>
      </w:r>
      <w:proofErr w:type="gramEnd"/>
      <w:r w:rsidRPr="00545ABD">
        <w:rPr>
          <w:rFonts w:ascii="Arial" w:hAnsi="Arial" w:cs="Arial"/>
          <w:color w:val="000000"/>
        </w:rPr>
        <w:t xml:space="preserve"> to, testing or clinical observation as appropriate for chronological or developmental age for one</w:t>
      </w:r>
      <w:r>
        <w:rPr>
          <w:rFonts w:ascii="Arial" w:hAnsi="Arial" w:cs="Arial"/>
          <w:color w:val="000000"/>
        </w:rPr>
        <w:t xml:space="preserve"> </w:t>
      </w:r>
      <w:r w:rsidRPr="00545ABD">
        <w:rPr>
          <w:rFonts w:ascii="Arial" w:hAnsi="Arial" w:cs="Arial"/>
          <w:color w:val="000000"/>
        </w:rPr>
        <w:t>or more of the following areas of functioning:</w:t>
      </w:r>
    </w:p>
    <w:p w14:paraId="1B153AEE" w14:textId="24F8060A" w:rsidR="00545ABD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t>Hearing aid evaluation;</w:t>
      </w:r>
    </w:p>
    <w:p w14:paraId="188285F8" w14:textId="0D668711" w:rsidR="00545ABD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lastRenderedPageBreak/>
        <w:t>Auditory training;</w:t>
      </w:r>
    </w:p>
    <w:p w14:paraId="625A35D6" w14:textId="48D7E8C9" w:rsidR="00545ABD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t>Training for the use of augmentative communication devices;</w:t>
      </w:r>
    </w:p>
    <w:p w14:paraId="39D03C2B" w14:textId="1CE57008" w:rsidR="00545ABD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t>Auditory acuity, speech detection</w:t>
      </w:r>
      <w:r w:rsidR="0078797C">
        <w:rPr>
          <w:rFonts w:ascii="Arial" w:hAnsi="Arial" w:cs="Arial"/>
          <w:color w:val="000000"/>
          <w:sz w:val="24"/>
          <w:szCs w:val="24"/>
        </w:rPr>
        <w:t>,</w:t>
      </w:r>
      <w:r w:rsidRPr="00D16DB7">
        <w:rPr>
          <w:rFonts w:ascii="Arial" w:hAnsi="Arial" w:cs="Arial"/>
          <w:color w:val="000000"/>
          <w:sz w:val="24"/>
          <w:szCs w:val="24"/>
        </w:rPr>
        <w:t xml:space="preserve"> and speech reception threshold;</w:t>
      </w:r>
    </w:p>
    <w:p w14:paraId="04A106E8" w14:textId="5C1861E3" w:rsidR="00545ABD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t>Auditory discrimination in quiet and noise;</w:t>
      </w:r>
    </w:p>
    <w:p w14:paraId="3092981F" w14:textId="6AF4CEA0" w:rsidR="00545ABD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t>Impedance audiometry, including tympanometry and acoustic reflex;</w:t>
      </w:r>
    </w:p>
    <w:p w14:paraId="7B0A900F" w14:textId="0C93352D" w:rsidR="00774EAC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t>Central auditory function; and</w:t>
      </w:r>
    </w:p>
    <w:p w14:paraId="200A2D8D" w14:textId="7D171EEE" w:rsidR="004A2F9B" w:rsidRPr="00D16DB7" w:rsidRDefault="00545ABD" w:rsidP="00774EA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</w:rPr>
        <w:t>Testing to determine the child’s need for individual amplification; selection and fitting the aids.</w:t>
      </w:r>
    </w:p>
    <w:p w14:paraId="509D6E0D" w14:textId="77777777" w:rsidR="00E679CC" w:rsidRPr="00545ABD" w:rsidRDefault="00E679CC" w:rsidP="00545ABD">
      <w:pPr>
        <w:spacing w:before="120" w:after="120"/>
        <w:rPr>
          <w:rFonts w:ascii="Arial" w:hAnsi="Arial" w:cs="Arial"/>
          <w:color w:val="000000"/>
        </w:rPr>
      </w:pPr>
    </w:p>
    <w:p w14:paraId="68AAC0FD" w14:textId="77777777" w:rsidR="00E679CC" w:rsidRDefault="00E679CC" w:rsidP="00E679CC">
      <w:pPr>
        <w:spacing w:before="120" w:after="120"/>
        <w:rPr>
          <w:rFonts w:ascii="Arial" w:hAnsi="Arial" w:cs="Arial"/>
          <w:b/>
          <w:bCs/>
          <w:color w:val="000000"/>
        </w:rPr>
      </w:pPr>
      <w:r w:rsidRPr="004A2F9B">
        <w:rPr>
          <w:rFonts w:ascii="Arial" w:hAnsi="Arial" w:cs="Arial"/>
          <w:b/>
          <w:bCs/>
          <w:color w:val="000000"/>
        </w:rPr>
        <w:t>ELIGIBLE PROVIDERS FOR</w:t>
      </w:r>
      <w:r w:rsidRPr="004A2F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2" w:name="_Hlk125542675"/>
      <w:r w:rsidRPr="004A2F9B">
        <w:rPr>
          <w:rFonts w:ascii="Arial" w:hAnsi="Arial" w:cs="Arial"/>
          <w:b/>
          <w:bCs/>
          <w:color w:val="000000"/>
        </w:rPr>
        <w:t>SPEECH, L</w:t>
      </w:r>
      <w:r>
        <w:rPr>
          <w:rFonts w:ascii="Arial" w:hAnsi="Arial" w:cs="Arial"/>
          <w:b/>
          <w:bCs/>
          <w:color w:val="000000"/>
        </w:rPr>
        <w:t>ANGUAGE</w:t>
      </w:r>
      <w:r w:rsidRPr="004A2F9B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AND HEARING SERVICES</w:t>
      </w:r>
      <w:bookmarkEnd w:id="2"/>
    </w:p>
    <w:p w14:paraId="19AC577A" w14:textId="0318C893" w:rsidR="00E679CC" w:rsidRPr="00E679CC" w:rsidRDefault="008E3F94" w:rsidP="00E679CC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SBS Program, s</w:t>
      </w:r>
      <w:r w:rsidR="00E679CC" w:rsidRPr="00E679CC">
        <w:rPr>
          <w:rFonts w:ascii="Arial" w:hAnsi="Arial" w:cs="Arial"/>
          <w:color w:val="000000"/>
        </w:rPr>
        <w:t>peech</w:t>
      </w:r>
      <w:r w:rsidR="00D16DB7">
        <w:rPr>
          <w:rFonts w:ascii="Arial" w:hAnsi="Arial" w:cs="Arial"/>
          <w:color w:val="000000"/>
        </w:rPr>
        <w:t>,</w:t>
      </w:r>
      <w:r w:rsidR="00E679CC" w:rsidRPr="00E679CC">
        <w:rPr>
          <w:rFonts w:ascii="Arial" w:hAnsi="Arial" w:cs="Arial"/>
          <w:color w:val="000000"/>
        </w:rPr>
        <w:t xml:space="preserve"> language</w:t>
      </w:r>
      <w:r w:rsidR="00D16DB7">
        <w:rPr>
          <w:rFonts w:ascii="Arial" w:hAnsi="Arial" w:cs="Arial"/>
          <w:color w:val="000000"/>
        </w:rPr>
        <w:t>,</w:t>
      </w:r>
      <w:r w:rsidR="00E679CC" w:rsidRPr="00E679CC">
        <w:rPr>
          <w:rFonts w:ascii="Arial" w:hAnsi="Arial" w:cs="Arial"/>
          <w:color w:val="000000"/>
        </w:rPr>
        <w:t xml:space="preserve"> and hearing services may </w:t>
      </w:r>
      <w:proofErr w:type="gramStart"/>
      <w:r w:rsidR="00E679CC" w:rsidRPr="00E679CC">
        <w:rPr>
          <w:rFonts w:ascii="Arial" w:hAnsi="Arial" w:cs="Arial"/>
          <w:color w:val="000000"/>
        </w:rPr>
        <w:t>be provided</w:t>
      </w:r>
      <w:proofErr w:type="gramEnd"/>
      <w:r w:rsidR="00E679CC" w:rsidRPr="00E679CC">
        <w:rPr>
          <w:rFonts w:ascii="Arial" w:hAnsi="Arial" w:cs="Arial"/>
          <w:color w:val="000000"/>
        </w:rPr>
        <w:t xml:space="preserve"> by</w:t>
      </w:r>
      <w:r w:rsidR="005778DC">
        <w:rPr>
          <w:rFonts w:ascii="Arial" w:hAnsi="Arial" w:cs="Arial"/>
          <w:color w:val="000000"/>
        </w:rPr>
        <w:t xml:space="preserve"> the following Medicaid providers</w:t>
      </w:r>
      <w:r w:rsidR="00E679CC" w:rsidRPr="00E679CC">
        <w:rPr>
          <w:rFonts w:ascii="Arial" w:hAnsi="Arial" w:cs="Arial"/>
          <w:color w:val="000000"/>
        </w:rPr>
        <w:t>:</w:t>
      </w:r>
    </w:p>
    <w:p w14:paraId="03A4AA6E" w14:textId="3BB3E9EC" w:rsidR="00E679CC" w:rsidRPr="00D16DB7" w:rsidRDefault="00E679CC" w:rsidP="00774EA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  <w:u w:val="single"/>
        </w:rPr>
        <w:t>Audiologists:</w:t>
      </w:r>
      <w:r w:rsidRPr="00D16DB7">
        <w:rPr>
          <w:rFonts w:ascii="Arial" w:hAnsi="Arial" w:cs="Arial"/>
          <w:color w:val="000000"/>
          <w:sz w:val="24"/>
          <w:szCs w:val="24"/>
        </w:rPr>
        <w:t xml:space="preserve"> Must be licensed by the Wyoming State Board of Examiners of Speech-Language Pathology and Audiology, follow the </w:t>
      </w:r>
      <w:hyperlink r:id="rId10" w:history="1">
        <w:r w:rsidRPr="00D16DB7">
          <w:rPr>
            <w:rStyle w:val="Hyperlink"/>
            <w:rFonts w:ascii="Arial" w:hAnsi="Arial" w:cs="Arial"/>
            <w:sz w:val="24"/>
            <w:szCs w:val="24"/>
          </w:rPr>
          <w:t>Wyoming Statutes § 33-33-102 through 33-33-204</w:t>
        </w:r>
      </w:hyperlink>
      <w:r w:rsidRPr="00D16DB7">
        <w:rPr>
          <w:rFonts w:ascii="Arial" w:hAnsi="Arial" w:cs="Arial"/>
          <w:color w:val="000000"/>
          <w:sz w:val="24"/>
          <w:szCs w:val="24"/>
        </w:rPr>
        <w:t xml:space="preserve">, and meet the requirements in 42 </w:t>
      </w:r>
      <w:r w:rsidR="008E3F94">
        <w:rPr>
          <w:rFonts w:ascii="Arial" w:hAnsi="Arial" w:cs="Arial"/>
          <w:color w:val="000000"/>
          <w:sz w:val="24"/>
          <w:szCs w:val="24"/>
        </w:rPr>
        <w:t>Code of Federal Regulations (</w:t>
      </w:r>
      <w:r w:rsidRPr="00D16DB7">
        <w:rPr>
          <w:rFonts w:ascii="Arial" w:hAnsi="Arial" w:cs="Arial"/>
          <w:color w:val="000000"/>
          <w:sz w:val="24"/>
          <w:szCs w:val="24"/>
        </w:rPr>
        <w:t>CFR</w:t>
      </w:r>
      <w:r w:rsidR="008E3F94">
        <w:rPr>
          <w:rFonts w:ascii="Arial" w:hAnsi="Arial" w:cs="Arial"/>
          <w:color w:val="000000"/>
          <w:sz w:val="24"/>
          <w:szCs w:val="24"/>
        </w:rPr>
        <w:t>)</w:t>
      </w:r>
      <w:r w:rsidRPr="00D16DB7">
        <w:rPr>
          <w:rFonts w:ascii="Arial" w:hAnsi="Arial" w:cs="Arial"/>
          <w:color w:val="000000"/>
          <w:sz w:val="24"/>
          <w:szCs w:val="24"/>
        </w:rPr>
        <w:t xml:space="preserve"> §440.110.</w:t>
      </w:r>
    </w:p>
    <w:p w14:paraId="5F2AFFE5" w14:textId="77777777" w:rsidR="00E679CC" w:rsidRPr="00D16DB7" w:rsidRDefault="00E679CC" w:rsidP="00774EA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  <w:u w:val="single"/>
        </w:rPr>
        <w:t>Speech pathologists:</w:t>
      </w:r>
      <w:r w:rsidRPr="00D16DB7">
        <w:rPr>
          <w:rFonts w:ascii="Arial" w:hAnsi="Arial" w:cs="Arial"/>
          <w:color w:val="000000"/>
          <w:sz w:val="24"/>
          <w:szCs w:val="24"/>
        </w:rPr>
        <w:t xml:space="preserve"> Must be licensed by the Wyoming State Board of Examiners of Speech-Language Pathology and Audiology, follow the </w:t>
      </w:r>
      <w:hyperlink r:id="rId11" w:history="1">
        <w:r w:rsidRPr="00D16DB7">
          <w:rPr>
            <w:rStyle w:val="Hyperlink"/>
            <w:rFonts w:ascii="Arial" w:hAnsi="Arial" w:cs="Arial"/>
            <w:sz w:val="24"/>
            <w:szCs w:val="24"/>
          </w:rPr>
          <w:t>Wyoming Statutes § 33-33-102 through 33-33-204</w:t>
        </w:r>
      </w:hyperlink>
      <w:r w:rsidRPr="00D16DB7">
        <w:rPr>
          <w:rFonts w:ascii="Arial" w:hAnsi="Arial" w:cs="Arial"/>
          <w:color w:val="000000"/>
          <w:sz w:val="24"/>
          <w:szCs w:val="24"/>
        </w:rPr>
        <w:t>, and meet the requirements in 42 CFR §440.110.</w:t>
      </w:r>
    </w:p>
    <w:p w14:paraId="0FA7EE67" w14:textId="77777777" w:rsidR="00E679CC" w:rsidRPr="00D16DB7" w:rsidRDefault="00E679CC" w:rsidP="00774EA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  <w:u w:val="single"/>
        </w:rPr>
        <w:t>Speech-language pathology assistants</w:t>
      </w:r>
      <w:r w:rsidRPr="00412640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D16DB7">
        <w:rPr>
          <w:rFonts w:ascii="Arial" w:hAnsi="Arial" w:cs="Arial"/>
          <w:color w:val="000000"/>
          <w:sz w:val="24"/>
          <w:szCs w:val="24"/>
        </w:rPr>
        <w:t xml:space="preserve"> Must be certified by the American Speech-Language-Hearing Association, meet all requirements as outlined in </w:t>
      </w:r>
      <w:hyperlink r:id="rId12" w:history="1">
        <w:r w:rsidRPr="00D16DB7">
          <w:rPr>
            <w:rStyle w:val="Hyperlink"/>
            <w:rFonts w:ascii="Arial" w:hAnsi="Arial" w:cs="Arial"/>
            <w:sz w:val="24"/>
            <w:szCs w:val="24"/>
          </w:rPr>
          <w:t>Wyoming Statutes § 33-33-102 through 33-33-204</w:t>
        </w:r>
      </w:hyperlink>
      <w:r w:rsidRPr="00D16DB7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Pr="00D16DB7">
        <w:rPr>
          <w:rFonts w:ascii="Arial" w:hAnsi="Arial" w:cs="Arial"/>
          <w:color w:val="000000"/>
          <w:sz w:val="24"/>
          <w:szCs w:val="24"/>
        </w:rPr>
        <w:t xml:space="preserve"> and must work under the direct supervision of a licensed speech-language pathologist.</w:t>
      </w:r>
    </w:p>
    <w:p w14:paraId="26E7C98F" w14:textId="6B01399C" w:rsidR="00B66D92" w:rsidRPr="001D40BB" w:rsidRDefault="00E679CC" w:rsidP="00E679C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D16DB7">
        <w:rPr>
          <w:rFonts w:ascii="Arial" w:hAnsi="Arial" w:cs="Arial"/>
          <w:color w:val="000000"/>
          <w:sz w:val="24"/>
          <w:szCs w:val="24"/>
          <w:u w:val="single"/>
        </w:rPr>
        <w:t>Speech-language pathology aides:</w:t>
      </w:r>
      <w:r w:rsidRPr="00D16DB7">
        <w:rPr>
          <w:rFonts w:ascii="Arial" w:hAnsi="Arial" w:cs="Arial"/>
          <w:color w:val="000000"/>
          <w:sz w:val="24"/>
          <w:szCs w:val="24"/>
        </w:rPr>
        <w:t xml:space="preserve"> Must meet all requirements as outlined in </w:t>
      </w:r>
      <w:hyperlink r:id="rId13" w:history="1">
        <w:r w:rsidRPr="00D16DB7">
          <w:rPr>
            <w:rStyle w:val="Hyperlink"/>
            <w:rFonts w:ascii="Arial" w:hAnsi="Arial" w:cs="Arial"/>
            <w:sz w:val="24"/>
            <w:szCs w:val="24"/>
          </w:rPr>
          <w:t>Wyoming Statutes § 33-33-102 through 33-33-204</w:t>
        </w:r>
      </w:hyperlink>
      <w:r w:rsidRPr="00D16DB7">
        <w:rPr>
          <w:rFonts w:ascii="Arial" w:hAnsi="Arial" w:cs="Arial"/>
          <w:color w:val="000000"/>
          <w:sz w:val="24"/>
          <w:szCs w:val="24"/>
        </w:rPr>
        <w:t xml:space="preserve"> and must work under the direct supervision of a licensed speech-language pathologist. </w:t>
      </w:r>
    </w:p>
    <w:p w14:paraId="2BE7F99A" w14:textId="22CE93D4" w:rsidR="00A01ADB" w:rsidRDefault="00A01ADB" w:rsidP="00D16DB7">
      <w:pPr>
        <w:keepNext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table below displays the allowable </w:t>
      </w:r>
      <w:r w:rsidR="000C3CB6">
        <w:rPr>
          <w:rFonts w:ascii="Arial" w:hAnsi="Arial" w:cs="Arial"/>
          <w:color w:val="000000"/>
        </w:rPr>
        <w:t xml:space="preserve">speech, language, </w:t>
      </w:r>
      <w:r w:rsidR="0078797C">
        <w:rPr>
          <w:rFonts w:ascii="Arial" w:hAnsi="Arial" w:cs="Arial"/>
          <w:color w:val="000000"/>
        </w:rPr>
        <w:t xml:space="preserve">and </w:t>
      </w:r>
      <w:r w:rsidR="000C3CB6">
        <w:rPr>
          <w:rFonts w:ascii="Arial" w:hAnsi="Arial" w:cs="Arial"/>
          <w:color w:val="000000"/>
        </w:rPr>
        <w:t xml:space="preserve">hearing provider </w:t>
      </w:r>
      <w:r>
        <w:rPr>
          <w:rFonts w:ascii="Arial" w:hAnsi="Arial" w:cs="Arial"/>
          <w:color w:val="000000"/>
        </w:rPr>
        <w:t xml:space="preserve">types with their </w:t>
      </w:r>
      <w:r w:rsidR="00B338ED">
        <w:rPr>
          <w:rFonts w:ascii="Arial" w:hAnsi="Arial" w:cs="Arial"/>
          <w:color w:val="000000"/>
        </w:rPr>
        <w:t xml:space="preserve">associated </w:t>
      </w:r>
      <w:r>
        <w:rPr>
          <w:rFonts w:ascii="Arial" w:hAnsi="Arial" w:cs="Arial"/>
          <w:color w:val="000000"/>
        </w:rPr>
        <w:t>taxonomy</w:t>
      </w:r>
      <w:r w:rsidR="000C3CB6">
        <w:rPr>
          <w:rFonts w:ascii="Arial" w:hAnsi="Arial" w:cs="Arial"/>
          <w:color w:val="000000"/>
        </w:rPr>
        <w:t xml:space="preserve"> codes.</w:t>
      </w:r>
    </w:p>
    <w:tbl>
      <w:tblPr>
        <w:tblStyle w:val="TableGrid5"/>
        <w:tblW w:w="9355" w:type="dxa"/>
        <w:tblLook w:val="04A0" w:firstRow="1" w:lastRow="0" w:firstColumn="1" w:lastColumn="0" w:noHBand="0" w:noVBand="1"/>
      </w:tblPr>
      <w:tblGrid>
        <w:gridCol w:w="7105"/>
        <w:gridCol w:w="2250"/>
      </w:tblGrid>
      <w:tr w:rsidR="00E679CC" w:rsidRPr="00A716B9" w14:paraId="2C56F253" w14:textId="77777777">
        <w:tc>
          <w:tcPr>
            <w:tcW w:w="7105" w:type="dxa"/>
            <w:shd w:val="clear" w:color="auto" w:fill="5B9BD5" w:themeFill="accent1"/>
          </w:tcPr>
          <w:p w14:paraId="0CF322AA" w14:textId="77777777" w:rsidR="00E679CC" w:rsidRPr="001F0F91" w:rsidRDefault="00E679CC">
            <w:pPr>
              <w:tabs>
                <w:tab w:val="left" w:pos="3564"/>
              </w:tabs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1F0F91">
              <w:rPr>
                <w:rFonts w:ascii="Arial" w:eastAsia="Calibri" w:hAnsi="Arial" w:cs="Arial"/>
                <w:b/>
                <w:color w:val="FFFFFF" w:themeColor="background1"/>
              </w:rPr>
              <w:t>Individual Provider</w:t>
            </w:r>
            <w:r w:rsidRPr="001F0F91">
              <w:rPr>
                <w:rFonts w:ascii="Arial" w:eastAsia="Calibri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2250" w:type="dxa"/>
            <w:shd w:val="clear" w:color="auto" w:fill="5B9BD5" w:themeFill="accent1"/>
          </w:tcPr>
          <w:p w14:paraId="66858BF4" w14:textId="77777777" w:rsidR="00E679CC" w:rsidRPr="001F0F91" w:rsidRDefault="00E679CC">
            <w:pPr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1F0F91">
              <w:rPr>
                <w:rFonts w:ascii="Arial" w:eastAsia="Calibri" w:hAnsi="Arial" w:cs="Arial"/>
                <w:b/>
                <w:color w:val="FFFFFF" w:themeColor="background1"/>
              </w:rPr>
              <w:t xml:space="preserve">Taxonomy </w:t>
            </w:r>
          </w:p>
        </w:tc>
      </w:tr>
      <w:tr w:rsidR="00E679CC" w:rsidRPr="00A716B9" w14:paraId="53D5DAEE" w14:textId="77777777">
        <w:tc>
          <w:tcPr>
            <w:tcW w:w="7105" w:type="dxa"/>
          </w:tcPr>
          <w:p w14:paraId="1E9B1619" w14:textId="77777777" w:rsidR="00E679CC" w:rsidRPr="005778DC" w:rsidRDefault="00E679CC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 xml:space="preserve">Audiologist </w:t>
            </w:r>
          </w:p>
        </w:tc>
        <w:tc>
          <w:tcPr>
            <w:tcW w:w="2250" w:type="dxa"/>
          </w:tcPr>
          <w:p w14:paraId="3EAB7C8C" w14:textId="77777777" w:rsidR="00E679CC" w:rsidRPr="005778DC" w:rsidRDefault="00E679CC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231H00000X</w:t>
            </w:r>
          </w:p>
        </w:tc>
      </w:tr>
      <w:tr w:rsidR="00E679CC" w:rsidRPr="00A716B9" w14:paraId="2A7B577C" w14:textId="77777777">
        <w:tc>
          <w:tcPr>
            <w:tcW w:w="7105" w:type="dxa"/>
          </w:tcPr>
          <w:p w14:paraId="4E3CAEA8" w14:textId="77777777" w:rsidR="00E679CC" w:rsidRPr="005778DC" w:rsidRDefault="00E679CC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Speech Therapist</w:t>
            </w:r>
          </w:p>
        </w:tc>
        <w:tc>
          <w:tcPr>
            <w:tcW w:w="2250" w:type="dxa"/>
          </w:tcPr>
          <w:p w14:paraId="090546D7" w14:textId="77777777" w:rsidR="00E679CC" w:rsidRPr="005778DC" w:rsidRDefault="00E679CC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235Z00000X</w:t>
            </w:r>
          </w:p>
        </w:tc>
      </w:tr>
      <w:tr w:rsidR="00E679CC" w:rsidRPr="00A716B9" w14:paraId="7E089DD4" w14:textId="77777777">
        <w:tc>
          <w:tcPr>
            <w:tcW w:w="7105" w:type="dxa"/>
          </w:tcPr>
          <w:p w14:paraId="58D7FE6C" w14:textId="77777777" w:rsidR="00E679CC" w:rsidRPr="005778DC" w:rsidRDefault="00E679CC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Speech Language Assistant</w:t>
            </w:r>
          </w:p>
        </w:tc>
        <w:tc>
          <w:tcPr>
            <w:tcW w:w="2250" w:type="dxa"/>
          </w:tcPr>
          <w:p w14:paraId="71484EEC" w14:textId="69F6F14C" w:rsidR="00E679CC" w:rsidRPr="005778DC" w:rsidRDefault="00A1737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E679CC" w:rsidRPr="00A716B9" w14:paraId="5ACEB357" w14:textId="77777777">
        <w:tc>
          <w:tcPr>
            <w:tcW w:w="7105" w:type="dxa"/>
          </w:tcPr>
          <w:p w14:paraId="2B9BD603" w14:textId="77777777" w:rsidR="00E679CC" w:rsidRPr="005778DC" w:rsidRDefault="00E679CC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Speech Language Aide</w:t>
            </w:r>
          </w:p>
        </w:tc>
        <w:tc>
          <w:tcPr>
            <w:tcW w:w="2250" w:type="dxa"/>
          </w:tcPr>
          <w:p w14:paraId="146DFEA5" w14:textId="0C34EF72" w:rsidR="00E679CC" w:rsidRPr="005778DC" w:rsidRDefault="00A1737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</w:tbl>
    <w:p w14:paraId="39469E35" w14:textId="77777777" w:rsidR="00B338ED" w:rsidRDefault="00B338ED" w:rsidP="00385654">
      <w:pPr>
        <w:spacing w:before="120" w:after="120"/>
        <w:rPr>
          <w:rFonts w:ascii="Arial" w:hAnsi="Arial" w:cs="Arial"/>
          <w:b/>
          <w:bCs/>
          <w:color w:val="000000"/>
        </w:rPr>
      </w:pPr>
    </w:p>
    <w:p w14:paraId="16EE2165" w14:textId="2E0CB9F4" w:rsidR="00545ABD" w:rsidRPr="005778DC" w:rsidRDefault="00545ABD" w:rsidP="00B911B0">
      <w:pPr>
        <w:keepNext/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COMMON CPT</w:t>
      </w:r>
      <w:r w:rsidR="00E679CC">
        <w:rPr>
          <w:rFonts w:ascii="Arial" w:hAnsi="Arial" w:cs="Arial"/>
          <w:b/>
          <w:bCs/>
          <w:color w:val="000000"/>
        </w:rPr>
        <w:t>/HCPCS</w:t>
      </w:r>
      <w:r>
        <w:rPr>
          <w:rFonts w:ascii="Arial" w:hAnsi="Arial" w:cs="Arial"/>
          <w:b/>
          <w:bCs/>
          <w:color w:val="000000"/>
        </w:rPr>
        <w:t xml:space="preserve"> CODES FOR </w:t>
      </w:r>
      <w:r w:rsidRPr="00545ABD">
        <w:rPr>
          <w:rFonts w:ascii="Arial" w:hAnsi="Arial" w:cs="Arial"/>
          <w:b/>
          <w:bCs/>
          <w:color w:val="000000"/>
        </w:rPr>
        <w:t xml:space="preserve">SPEECH, LANGUAGE, AND HEARING </w:t>
      </w:r>
      <w:r w:rsidRPr="005778DC">
        <w:rPr>
          <w:rFonts w:ascii="Arial" w:hAnsi="Arial" w:cs="Arial"/>
          <w:b/>
          <w:bCs/>
          <w:color w:val="000000"/>
        </w:rPr>
        <w:t>SERVICES</w:t>
      </w:r>
    </w:p>
    <w:p w14:paraId="37B8F315" w14:textId="529818B9" w:rsidR="00545ABD" w:rsidRPr="005778DC" w:rsidRDefault="00545ABD" w:rsidP="00545ABD">
      <w:pPr>
        <w:rPr>
          <w:rFonts w:ascii="Arial" w:hAnsi="Arial" w:cs="Arial"/>
        </w:rPr>
      </w:pPr>
      <w:r w:rsidRPr="005778DC">
        <w:rPr>
          <w:rFonts w:ascii="Arial" w:hAnsi="Arial" w:cs="Arial"/>
        </w:rPr>
        <w:t xml:space="preserve">The </w:t>
      </w:r>
      <w:bookmarkStart w:id="3" w:name="_Toc112252079"/>
      <w:r w:rsidR="00E679CC" w:rsidRPr="005778DC">
        <w:rPr>
          <w:rFonts w:ascii="Arial" w:hAnsi="Arial" w:cs="Arial"/>
        </w:rPr>
        <w:t>Current Procedural Terminology (CPT)</w:t>
      </w:r>
      <w:r w:rsidR="00D56790">
        <w:rPr>
          <w:rFonts w:ascii="Arial" w:hAnsi="Arial" w:cs="Arial"/>
        </w:rPr>
        <w:t xml:space="preserve"> </w:t>
      </w:r>
      <w:r w:rsidR="00E679CC" w:rsidRPr="005778DC">
        <w:rPr>
          <w:rFonts w:ascii="Arial" w:hAnsi="Arial" w:cs="Arial"/>
        </w:rPr>
        <w:t>/</w:t>
      </w:r>
      <w:r w:rsidR="00D56790">
        <w:rPr>
          <w:rFonts w:ascii="Arial" w:hAnsi="Arial" w:cs="Arial"/>
        </w:rPr>
        <w:t xml:space="preserve"> </w:t>
      </w:r>
      <w:r w:rsidR="00E679CC" w:rsidRPr="005778DC">
        <w:rPr>
          <w:rFonts w:ascii="Arial" w:hAnsi="Arial" w:cs="Arial"/>
        </w:rPr>
        <w:t>Healthcare Common Procedure Coding System (HCPCS) Codes</w:t>
      </w:r>
      <w:bookmarkEnd w:id="3"/>
      <w:r w:rsidR="00E679CC" w:rsidRPr="005778DC">
        <w:rPr>
          <w:rFonts w:ascii="Arial" w:hAnsi="Arial" w:cs="Arial"/>
        </w:rPr>
        <w:t xml:space="preserve"> </w:t>
      </w:r>
      <w:r w:rsidRPr="005778DC">
        <w:rPr>
          <w:rFonts w:ascii="Arial" w:hAnsi="Arial" w:cs="Arial"/>
        </w:rPr>
        <w:t xml:space="preserve">are a collection of codes that represent procedures, supplies, products, and services which may </w:t>
      </w:r>
      <w:proofErr w:type="gramStart"/>
      <w:r w:rsidRPr="005778DC">
        <w:rPr>
          <w:rFonts w:ascii="Arial" w:hAnsi="Arial" w:cs="Arial"/>
        </w:rPr>
        <w:t>be provided</w:t>
      </w:r>
      <w:proofErr w:type="gramEnd"/>
      <w:r w:rsidRPr="005778DC">
        <w:rPr>
          <w:rFonts w:ascii="Arial" w:hAnsi="Arial" w:cs="Arial"/>
        </w:rPr>
        <w:t xml:space="preserve"> to Medicaid beneficiaries. SBS Program providers must use the appropriate billing CPT or HCPCS code based on the student’s plan of care or assessment needs. </w:t>
      </w:r>
      <w:bookmarkStart w:id="4" w:name="_Hlk125549153"/>
      <w:r w:rsidRPr="005778DC">
        <w:rPr>
          <w:rFonts w:ascii="Arial" w:hAnsi="Arial" w:cs="Arial"/>
        </w:rPr>
        <w:t xml:space="preserve">The table below </w:t>
      </w:r>
      <w:r w:rsidR="00A01ADB">
        <w:rPr>
          <w:rFonts w:ascii="Arial" w:hAnsi="Arial" w:cs="Arial"/>
        </w:rPr>
        <w:t>displays</w:t>
      </w:r>
      <w:r w:rsidRPr="005778DC">
        <w:rPr>
          <w:rFonts w:ascii="Arial" w:hAnsi="Arial" w:cs="Arial"/>
        </w:rPr>
        <w:t xml:space="preserve"> common billing codes for</w:t>
      </w:r>
      <w:r w:rsidR="00E679CC" w:rsidRPr="005778DC">
        <w:rPr>
          <w:rFonts w:ascii="Arial" w:hAnsi="Arial" w:cs="Arial"/>
        </w:rPr>
        <w:t xml:space="preserve"> speech, language, and hearing services for</w:t>
      </w:r>
      <w:r w:rsidRPr="005778DC">
        <w:rPr>
          <w:rFonts w:ascii="Arial" w:hAnsi="Arial" w:cs="Arial"/>
        </w:rPr>
        <w:t xml:space="preserve"> the SBS Program. </w:t>
      </w:r>
    </w:p>
    <w:p w14:paraId="408B06C3" w14:textId="77777777" w:rsidR="00545ABD" w:rsidRDefault="00545ABD" w:rsidP="00385654">
      <w:pPr>
        <w:spacing w:before="120" w:after="120"/>
        <w:rPr>
          <w:rFonts w:ascii="Arial" w:hAnsi="Arial" w:cs="Arial"/>
          <w:b/>
          <w:bCs/>
          <w:color w:val="000000"/>
        </w:rPr>
      </w:pPr>
    </w:p>
    <w:tbl>
      <w:tblPr>
        <w:tblStyle w:val="TableGrid6"/>
        <w:tblW w:w="9355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545ABD" w:rsidRPr="005778DC" w14:paraId="7F828296" w14:textId="77777777">
        <w:trPr>
          <w:trHeight w:val="296"/>
        </w:trPr>
        <w:tc>
          <w:tcPr>
            <w:tcW w:w="9350" w:type="dxa"/>
            <w:gridSpan w:val="2"/>
            <w:shd w:val="clear" w:color="auto" w:fill="5B9BD5" w:themeFill="accent1"/>
          </w:tcPr>
          <w:bookmarkEnd w:id="4"/>
          <w:p w14:paraId="7AA74EAF" w14:textId="767CEC60" w:rsidR="00545ABD" w:rsidRPr="005778DC" w:rsidRDefault="00545ABD">
            <w:pPr>
              <w:jc w:val="center"/>
              <w:rPr>
                <w:rFonts w:ascii="Arial" w:eastAsia="Calibri" w:hAnsi="Arial" w:cs="Arial"/>
                <w:b/>
              </w:rPr>
            </w:pPr>
            <w:r w:rsidRPr="001F0F91">
              <w:rPr>
                <w:rFonts w:ascii="Arial" w:eastAsia="Calibri" w:hAnsi="Arial" w:cs="Arial"/>
                <w:b/>
                <w:color w:val="FFFFFF" w:themeColor="background1"/>
              </w:rPr>
              <w:t>Speech</w:t>
            </w:r>
            <w:r w:rsidR="00E679CC" w:rsidRPr="001F0F91">
              <w:rPr>
                <w:rFonts w:ascii="Arial" w:eastAsia="Calibri" w:hAnsi="Arial" w:cs="Arial"/>
                <w:b/>
                <w:color w:val="FFFFFF" w:themeColor="background1"/>
              </w:rPr>
              <w:t xml:space="preserve">, </w:t>
            </w:r>
            <w:r w:rsidRPr="001F0F91">
              <w:rPr>
                <w:rFonts w:ascii="Arial" w:eastAsia="Calibri" w:hAnsi="Arial" w:cs="Arial"/>
                <w:b/>
                <w:color w:val="FFFFFF" w:themeColor="background1"/>
              </w:rPr>
              <w:t>Language</w:t>
            </w:r>
            <w:r w:rsidR="00E679CC" w:rsidRPr="001F0F91">
              <w:rPr>
                <w:rFonts w:ascii="Arial" w:eastAsia="Calibri" w:hAnsi="Arial" w:cs="Arial"/>
                <w:b/>
                <w:color w:val="FFFFFF" w:themeColor="background1"/>
              </w:rPr>
              <w:t>, and Hearing</w:t>
            </w:r>
            <w:r w:rsidRPr="001F0F91">
              <w:rPr>
                <w:rFonts w:ascii="Arial" w:eastAsia="Calibri" w:hAnsi="Arial" w:cs="Arial"/>
                <w:b/>
                <w:color w:val="FFFFFF" w:themeColor="background1"/>
              </w:rPr>
              <w:t xml:space="preserve"> Services</w:t>
            </w:r>
          </w:p>
        </w:tc>
      </w:tr>
      <w:tr w:rsidR="00545ABD" w:rsidRPr="005778DC" w14:paraId="52E4A88F" w14:textId="77777777">
        <w:tc>
          <w:tcPr>
            <w:tcW w:w="1843" w:type="dxa"/>
            <w:shd w:val="clear" w:color="auto" w:fill="FFF2CC" w:themeFill="accent4" w:themeFillTint="33"/>
          </w:tcPr>
          <w:p w14:paraId="4CD8ADCD" w14:textId="77777777" w:rsidR="00545ABD" w:rsidRPr="005778DC" w:rsidRDefault="00545ABD">
            <w:pPr>
              <w:jc w:val="center"/>
              <w:rPr>
                <w:rFonts w:ascii="Arial" w:eastAsia="Calibri" w:hAnsi="Arial" w:cs="Arial"/>
                <w:b/>
              </w:rPr>
            </w:pPr>
            <w:r w:rsidRPr="005778DC">
              <w:rPr>
                <w:rFonts w:ascii="Arial" w:eastAsia="Calibri" w:hAnsi="Arial" w:cs="Arial"/>
                <w:b/>
              </w:rPr>
              <w:t>CPT Codes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14:paraId="2F906E4F" w14:textId="77777777" w:rsidR="00545ABD" w:rsidRPr="005778DC" w:rsidRDefault="00545ABD">
            <w:pPr>
              <w:rPr>
                <w:rFonts w:ascii="Arial" w:eastAsia="Calibri" w:hAnsi="Arial" w:cs="Arial"/>
                <w:b/>
              </w:rPr>
            </w:pPr>
            <w:r w:rsidRPr="005778DC">
              <w:rPr>
                <w:rFonts w:ascii="Arial" w:eastAsia="Calibri" w:hAnsi="Arial" w:cs="Arial"/>
                <w:b/>
              </w:rPr>
              <w:t>Short Description</w:t>
            </w:r>
          </w:p>
        </w:tc>
      </w:tr>
      <w:tr w:rsidR="00545ABD" w:rsidRPr="005778DC" w14:paraId="2B8AC1C6" w14:textId="77777777" w:rsidTr="001F0F91">
        <w:tc>
          <w:tcPr>
            <w:tcW w:w="1843" w:type="dxa"/>
            <w:vAlign w:val="center"/>
          </w:tcPr>
          <w:p w14:paraId="29236A51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92521</w:t>
            </w:r>
          </w:p>
        </w:tc>
        <w:tc>
          <w:tcPr>
            <w:tcW w:w="7512" w:type="dxa"/>
          </w:tcPr>
          <w:p w14:paraId="4EB25C46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Evaluation of Speech Fluency</w:t>
            </w:r>
          </w:p>
        </w:tc>
      </w:tr>
      <w:tr w:rsidR="00545ABD" w:rsidRPr="005778DC" w14:paraId="0459AFE5" w14:textId="77777777" w:rsidTr="001F0F91">
        <w:tc>
          <w:tcPr>
            <w:tcW w:w="1843" w:type="dxa"/>
            <w:vAlign w:val="center"/>
          </w:tcPr>
          <w:p w14:paraId="05388254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92522</w:t>
            </w:r>
          </w:p>
        </w:tc>
        <w:tc>
          <w:tcPr>
            <w:tcW w:w="7512" w:type="dxa"/>
          </w:tcPr>
          <w:p w14:paraId="63EC893C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Evaluation of Speech Sound Production</w:t>
            </w:r>
          </w:p>
        </w:tc>
      </w:tr>
      <w:tr w:rsidR="00545ABD" w:rsidRPr="005778DC" w14:paraId="7C42270B" w14:textId="77777777" w:rsidTr="001F0F91">
        <w:tc>
          <w:tcPr>
            <w:tcW w:w="1843" w:type="dxa"/>
            <w:vAlign w:val="center"/>
          </w:tcPr>
          <w:p w14:paraId="7FBDA9A5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92523</w:t>
            </w:r>
          </w:p>
        </w:tc>
        <w:tc>
          <w:tcPr>
            <w:tcW w:w="7512" w:type="dxa"/>
          </w:tcPr>
          <w:p w14:paraId="2A222DC2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Evaluation of Speech Sound Production; with Evaluation of Language Comprehension and Expression</w:t>
            </w:r>
          </w:p>
        </w:tc>
      </w:tr>
      <w:tr w:rsidR="00545ABD" w:rsidRPr="005778DC" w14:paraId="42FA0C02" w14:textId="77777777" w:rsidTr="001F0F91">
        <w:tc>
          <w:tcPr>
            <w:tcW w:w="1843" w:type="dxa"/>
            <w:vAlign w:val="center"/>
          </w:tcPr>
          <w:p w14:paraId="10E0BA59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92610</w:t>
            </w:r>
          </w:p>
        </w:tc>
        <w:tc>
          <w:tcPr>
            <w:tcW w:w="7512" w:type="dxa"/>
          </w:tcPr>
          <w:p w14:paraId="1859AACC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Eval of Oral and Pharyngeal Swallowing Function</w:t>
            </w:r>
          </w:p>
        </w:tc>
      </w:tr>
      <w:tr w:rsidR="00545ABD" w:rsidRPr="005778DC" w14:paraId="06350D7F" w14:textId="77777777" w:rsidTr="001F0F91">
        <w:tc>
          <w:tcPr>
            <w:tcW w:w="1843" w:type="dxa"/>
            <w:vAlign w:val="center"/>
          </w:tcPr>
          <w:p w14:paraId="0DAB6F8A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92507</w:t>
            </w:r>
          </w:p>
        </w:tc>
        <w:tc>
          <w:tcPr>
            <w:tcW w:w="7512" w:type="dxa"/>
          </w:tcPr>
          <w:p w14:paraId="04E2A733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Speech, Language, Voice, Communication Therapy, Individual</w:t>
            </w:r>
          </w:p>
        </w:tc>
      </w:tr>
      <w:tr w:rsidR="00545ABD" w:rsidRPr="005778DC" w14:paraId="331DEF02" w14:textId="77777777" w:rsidTr="001F0F91">
        <w:tc>
          <w:tcPr>
            <w:tcW w:w="1843" w:type="dxa"/>
            <w:vAlign w:val="center"/>
          </w:tcPr>
          <w:p w14:paraId="3C537CEE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92508</w:t>
            </w:r>
          </w:p>
        </w:tc>
        <w:tc>
          <w:tcPr>
            <w:tcW w:w="7512" w:type="dxa"/>
          </w:tcPr>
          <w:p w14:paraId="69EC8E59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Speech, Language, Voice, Communication Therapy, Group</w:t>
            </w:r>
          </w:p>
        </w:tc>
      </w:tr>
      <w:tr w:rsidR="00545ABD" w:rsidRPr="005778DC" w14:paraId="044F38F9" w14:textId="77777777" w:rsidTr="001F0F91">
        <w:tc>
          <w:tcPr>
            <w:tcW w:w="1843" w:type="dxa"/>
            <w:vAlign w:val="center"/>
          </w:tcPr>
          <w:p w14:paraId="1E66F12D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92507</w:t>
            </w:r>
          </w:p>
        </w:tc>
        <w:tc>
          <w:tcPr>
            <w:tcW w:w="7512" w:type="dxa"/>
          </w:tcPr>
          <w:p w14:paraId="6E3F0FD4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Speech/Hearing Therapy, Individual</w:t>
            </w:r>
          </w:p>
        </w:tc>
      </w:tr>
      <w:tr w:rsidR="00545ABD" w:rsidRPr="005778DC" w14:paraId="550EA09C" w14:textId="77777777" w:rsidTr="001F0F91">
        <w:tc>
          <w:tcPr>
            <w:tcW w:w="1843" w:type="dxa"/>
            <w:vAlign w:val="center"/>
          </w:tcPr>
          <w:p w14:paraId="6E494CCB" w14:textId="77777777" w:rsidR="00545ABD" w:rsidRPr="005778DC" w:rsidRDefault="00545ABD" w:rsidP="00D56790">
            <w:pPr>
              <w:jc w:val="center"/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92508</w:t>
            </w:r>
          </w:p>
        </w:tc>
        <w:tc>
          <w:tcPr>
            <w:tcW w:w="7512" w:type="dxa"/>
          </w:tcPr>
          <w:p w14:paraId="0D140BA0" w14:textId="77777777" w:rsidR="00545ABD" w:rsidRPr="005778DC" w:rsidRDefault="00545ABD">
            <w:pPr>
              <w:rPr>
                <w:rFonts w:ascii="Arial" w:eastAsia="Calibri" w:hAnsi="Arial" w:cs="Arial"/>
              </w:rPr>
            </w:pPr>
            <w:r w:rsidRPr="005778DC">
              <w:rPr>
                <w:rFonts w:ascii="Arial" w:eastAsia="Calibri" w:hAnsi="Arial" w:cs="Arial"/>
              </w:rPr>
              <w:t>Speech/Hearing Therapy, Group</w:t>
            </w:r>
          </w:p>
        </w:tc>
      </w:tr>
    </w:tbl>
    <w:p w14:paraId="1B0A3FE2" w14:textId="4039D334" w:rsidR="00545ABD" w:rsidRDefault="00545ABD" w:rsidP="00385654">
      <w:pPr>
        <w:spacing w:before="120" w:after="120"/>
        <w:rPr>
          <w:rFonts w:ascii="Arial" w:hAnsi="Arial" w:cs="Arial"/>
          <w:b/>
          <w:bCs/>
          <w:color w:val="000000"/>
        </w:rPr>
      </w:pPr>
    </w:p>
    <w:p w14:paraId="1366D5CB" w14:textId="08082E39" w:rsidR="002512B3" w:rsidRPr="002512B3" w:rsidRDefault="002512B3" w:rsidP="002512B3">
      <w:pPr>
        <w:spacing w:before="120" w:after="120"/>
        <w:rPr>
          <w:rFonts w:ascii="Arial" w:hAnsi="Arial" w:cs="Arial"/>
          <w:color w:val="000000"/>
        </w:rPr>
      </w:pPr>
      <w:r w:rsidRPr="002512B3">
        <w:rPr>
          <w:rFonts w:ascii="Arial" w:hAnsi="Arial" w:cs="Arial"/>
          <w:color w:val="000000"/>
        </w:rPr>
        <w:t>Speech-language pathology CPT codes are primarily service-based</w:t>
      </w:r>
      <w:r w:rsidR="00FA37E2">
        <w:rPr>
          <w:rFonts w:ascii="Arial" w:hAnsi="Arial" w:cs="Arial"/>
          <w:color w:val="000000"/>
        </w:rPr>
        <w:t xml:space="preserve"> rather than based on the amount of time spent</w:t>
      </w:r>
      <w:r w:rsidRPr="002512B3">
        <w:rPr>
          <w:rFonts w:ascii="Arial" w:hAnsi="Arial" w:cs="Arial"/>
          <w:color w:val="000000"/>
        </w:rPr>
        <w:t xml:space="preserve">. There are CPT codes that </w:t>
      </w:r>
      <w:proofErr w:type="gramStart"/>
      <w:r w:rsidRPr="002512B3">
        <w:rPr>
          <w:rFonts w:ascii="Arial" w:hAnsi="Arial" w:cs="Arial"/>
          <w:color w:val="000000"/>
        </w:rPr>
        <w:t>are reported</w:t>
      </w:r>
      <w:proofErr w:type="gramEnd"/>
      <w:r w:rsidRPr="002512B3">
        <w:rPr>
          <w:rFonts w:ascii="Arial" w:hAnsi="Arial" w:cs="Arial"/>
          <w:color w:val="000000"/>
        </w:rPr>
        <w:t xml:space="preserve"> by speech-language pathologists that are time-based</w:t>
      </w:r>
      <w:r w:rsidR="00B338ED">
        <w:rPr>
          <w:rFonts w:ascii="Arial" w:hAnsi="Arial" w:cs="Arial"/>
          <w:color w:val="000000"/>
        </w:rPr>
        <w:t xml:space="preserve"> such as</w:t>
      </w:r>
      <w:r w:rsidRPr="002512B3">
        <w:rPr>
          <w:rFonts w:ascii="Arial" w:hAnsi="Arial" w:cs="Arial"/>
          <w:color w:val="000000"/>
        </w:rPr>
        <w:t>:</w:t>
      </w:r>
    </w:p>
    <w:p w14:paraId="6B247F78" w14:textId="2CEC4B21" w:rsidR="002512B3" w:rsidRPr="002512B3" w:rsidRDefault="002512B3" w:rsidP="002512B3">
      <w:pPr>
        <w:numPr>
          <w:ilvl w:val="0"/>
          <w:numId w:val="22"/>
        </w:numPr>
        <w:spacing w:before="120" w:after="120"/>
        <w:rPr>
          <w:rFonts w:ascii="Arial" w:hAnsi="Arial" w:cs="Arial"/>
          <w:color w:val="000000"/>
        </w:rPr>
      </w:pPr>
      <w:r w:rsidRPr="002512B3">
        <w:rPr>
          <w:rFonts w:ascii="Arial" w:hAnsi="Arial" w:cs="Arial"/>
          <w:color w:val="000000"/>
        </w:rPr>
        <w:t xml:space="preserve">the first hour of a speech-generating device (SGD) </w:t>
      </w:r>
      <w:r w:rsidR="00D56790">
        <w:rPr>
          <w:rFonts w:ascii="Arial" w:hAnsi="Arial" w:cs="Arial"/>
          <w:color w:val="000000"/>
        </w:rPr>
        <w:t>evaluation;</w:t>
      </w:r>
    </w:p>
    <w:p w14:paraId="723B1DAB" w14:textId="662DF277" w:rsidR="002512B3" w:rsidRPr="002512B3" w:rsidRDefault="002512B3" w:rsidP="002512B3">
      <w:pPr>
        <w:numPr>
          <w:ilvl w:val="0"/>
          <w:numId w:val="22"/>
        </w:numPr>
        <w:spacing w:before="120" w:after="120"/>
        <w:rPr>
          <w:rFonts w:ascii="Arial" w:hAnsi="Arial" w:cs="Arial"/>
          <w:color w:val="000000"/>
        </w:rPr>
      </w:pPr>
      <w:r w:rsidRPr="002512B3">
        <w:rPr>
          <w:rFonts w:ascii="Arial" w:hAnsi="Arial" w:cs="Arial"/>
          <w:color w:val="000000"/>
        </w:rPr>
        <w:t>each additional 30 minutes of the SGD evaluation</w:t>
      </w:r>
      <w:r w:rsidR="00D56790">
        <w:rPr>
          <w:rFonts w:ascii="Arial" w:hAnsi="Arial" w:cs="Arial"/>
          <w:color w:val="000000"/>
        </w:rPr>
        <w:t>;</w:t>
      </w:r>
    </w:p>
    <w:p w14:paraId="60EE2BB8" w14:textId="4DE98504" w:rsidR="002512B3" w:rsidRPr="002512B3" w:rsidRDefault="002512B3" w:rsidP="002512B3">
      <w:pPr>
        <w:numPr>
          <w:ilvl w:val="0"/>
          <w:numId w:val="22"/>
        </w:numPr>
        <w:spacing w:before="120" w:after="120"/>
        <w:rPr>
          <w:rFonts w:ascii="Arial" w:hAnsi="Arial" w:cs="Arial"/>
          <w:color w:val="000000"/>
        </w:rPr>
      </w:pPr>
      <w:r w:rsidRPr="002512B3">
        <w:rPr>
          <w:rFonts w:ascii="Arial" w:hAnsi="Arial" w:cs="Arial"/>
          <w:color w:val="000000"/>
        </w:rPr>
        <w:t>aphasia evaluation, per hour</w:t>
      </w:r>
      <w:r w:rsidR="00D56790">
        <w:rPr>
          <w:rFonts w:ascii="Arial" w:hAnsi="Arial" w:cs="Arial"/>
          <w:color w:val="000000"/>
        </w:rPr>
        <w:t>;</w:t>
      </w:r>
    </w:p>
    <w:p w14:paraId="2C1022C3" w14:textId="63BD83E3" w:rsidR="002512B3" w:rsidRPr="002512B3" w:rsidRDefault="002512B3" w:rsidP="002512B3">
      <w:pPr>
        <w:numPr>
          <w:ilvl w:val="0"/>
          <w:numId w:val="22"/>
        </w:numPr>
        <w:spacing w:before="120" w:after="120"/>
        <w:rPr>
          <w:rFonts w:ascii="Arial" w:hAnsi="Arial" w:cs="Arial"/>
          <w:color w:val="000000"/>
        </w:rPr>
      </w:pPr>
      <w:r w:rsidRPr="002512B3">
        <w:rPr>
          <w:rFonts w:ascii="Arial" w:hAnsi="Arial" w:cs="Arial"/>
          <w:color w:val="000000"/>
        </w:rPr>
        <w:t xml:space="preserve">the first hour of an aural rehabilitation </w:t>
      </w:r>
      <w:r w:rsidR="00D56790">
        <w:rPr>
          <w:rFonts w:ascii="Arial" w:hAnsi="Arial" w:cs="Arial"/>
          <w:color w:val="000000"/>
        </w:rPr>
        <w:t>evaluation;</w:t>
      </w:r>
      <w:r w:rsidRPr="002512B3">
        <w:rPr>
          <w:rFonts w:ascii="Arial" w:hAnsi="Arial" w:cs="Arial"/>
          <w:color w:val="000000"/>
        </w:rPr>
        <w:t xml:space="preserve"> and</w:t>
      </w:r>
    </w:p>
    <w:p w14:paraId="0212626B" w14:textId="77777777" w:rsidR="002512B3" w:rsidRPr="002512B3" w:rsidRDefault="002512B3" w:rsidP="002512B3">
      <w:pPr>
        <w:numPr>
          <w:ilvl w:val="0"/>
          <w:numId w:val="22"/>
        </w:numPr>
        <w:spacing w:before="120" w:after="120"/>
        <w:rPr>
          <w:rFonts w:ascii="Arial" w:hAnsi="Arial" w:cs="Arial"/>
          <w:color w:val="000000"/>
        </w:rPr>
      </w:pPr>
      <w:r w:rsidRPr="002512B3">
        <w:rPr>
          <w:rFonts w:ascii="Arial" w:hAnsi="Arial" w:cs="Arial"/>
          <w:color w:val="000000"/>
        </w:rPr>
        <w:t>each additional 15 minutes of the aural rehabilitation evaluation.</w:t>
      </w:r>
    </w:p>
    <w:p w14:paraId="1656529A" w14:textId="6676822B" w:rsidR="002512B3" w:rsidRDefault="002512B3" w:rsidP="002512B3">
      <w:pPr>
        <w:spacing w:before="120" w:after="120"/>
        <w:rPr>
          <w:rFonts w:ascii="Arial" w:hAnsi="Arial" w:cs="Arial"/>
          <w:color w:val="000000"/>
        </w:rPr>
      </w:pPr>
      <w:r w:rsidRPr="002512B3">
        <w:rPr>
          <w:rFonts w:ascii="Arial" w:hAnsi="Arial" w:cs="Arial"/>
          <w:color w:val="000000"/>
        </w:rPr>
        <w:t xml:space="preserve">All other codes are procedure-based. That is, the CPT code </w:t>
      </w:r>
      <w:proofErr w:type="gramStart"/>
      <w:r w:rsidRPr="002512B3">
        <w:rPr>
          <w:rFonts w:ascii="Arial" w:hAnsi="Arial" w:cs="Arial"/>
          <w:color w:val="000000"/>
        </w:rPr>
        <w:t>is reported</w:t>
      </w:r>
      <w:proofErr w:type="gramEnd"/>
      <w:r w:rsidRPr="002512B3">
        <w:rPr>
          <w:rFonts w:ascii="Arial" w:hAnsi="Arial" w:cs="Arial"/>
          <w:color w:val="000000"/>
        </w:rPr>
        <w:t xml:space="preserve"> </w:t>
      </w:r>
      <w:r w:rsidR="00B338ED">
        <w:rPr>
          <w:rFonts w:ascii="Arial" w:hAnsi="Arial" w:cs="Arial"/>
          <w:color w:val="000000"/>
        </w:rPr>
        <w:t>as one unit of service</w:t>
      </w:r>
      <w:r w:rsidRPr="002512B3">
        <w:rPr>
          <w:rFonts w:ascii="Arial" w:hAnsi="Arial" w:cs="Arial"/>
          <w:color w:val="000000"/>
        </w:rPr>
        <w:t xml:space="preserve"> regardless of the length of the appointment.</w:t>
      </w:r>
    </w:p>
    <w:p w14:paraId="7ADC07B6" w14:textId="14BFE995" w:rsidR="009F61BC" w:rsidRDefault="009F61BC" w:rsidP="002512B3">
      <w:pPr>
        <w:spacing w:before="120" w:after="120"/>
        <w:rPr>
          <w:rFonts w:ascii="Arial" w:hAnsi="Arial" w:cs="Arial"/>
          <w:color w:val="000000"/>
        </w:rPr>
      </w:pPr>
    </w:p>
    <w:p w14:paraId="512F7DDD" w14:textId="0A65F78F" w:rsidR="00A01ADB" w:rsidRPr="004213C4" w:rsidRDefault="00A01ADB" w:rsidP="00B911B0">
      <w:pPr>
        <w:keepNext/>
        <w:spacing w:before="120" w:after="120"/>
        <w:rPr>
          <w:rFonts w:ascii="Arial" w:hAnsi="Arial" w:cs="Arial"/>
          <w:b/>
          <w:bCs/>
          <w:color w:val="000000"/>
        </w:rPr>
      </w:pPr>
      <w:r w:rsidRPr="004213C4">
        <w:rPr>
          <w:rFonts w:ascii="Arial" w:hAnsi="Arial" w:cs="Arial"/>
          <w:b/>
          <w:bCs/>
          <w:color w:val="000000"/>
        </w:rPr>
        <w:t>GROUP SERVICES</w:t>
      </w:r>
    </w:p>
    <w:p w14:paraId="5FD04728" w14:textId="36151FD0" w:rsidR="00A01ADB" w:rsidRPr="00545ABD" w:rsidRDefault="00412640" w:rsidP="00B911B0">
      <w:pPr>
        <w:keepNext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Certain</w:t>
      </w:r>
      <w:r w:rsidR="00A01ADB" w:rsidRPr="00545ABD">
        <w:rPr>
          <w:rFonts w:ascii="Arial" w:hAnsi="Arial" w:cs="Arial"/>
          <w:color w:val="000000"/>
        </w:rPr>
        <w:t xml:space="preserve"> allowable services, such as the service listed below, </w:t>
      </w:r>
      <w:r w:rsidR="00B338ED">
        <w:rPr>
          <w:rFonts w:ascii="Arial" w:hAnsi="Arial" w:cs="Arial"/>
          <w:color w:val="000000"/>
        </w:rPr>
        <w:t>are</w:t>
      </w:r>
      <w:r w:rsidR="00A01ADB" w:rsidRPr="00545ABD">
        <w:rPr>
          <w:rFonts w:ascii="Arial" w:hAnsi="Arial" w:cs="Arial"/>
          <w:color w:val="000000"/>
        </w:rPr>
        <w:t xml:space="preserve"> group services. Group services must include at least two children and no more than five children in order to be billable to Medicaid. </w:t>
      </w:r>
      <w:bookmarkStart w:id="5" w:name="_Hlk108017051"/>
      <w:r w:rsidR="00A01ADB" w:rsidRPr="00545ABD">
        <w:rPr>
          <w:rFonts w:ascii="Arial" w:hAnsi="Arial" w:cs="Arial"/>
          <w:color w:val="000000"/>
        </w:rPr>
        <w:t>Group services are only reimbursable if delivered face-to-face. Telehealth is not an approved modality for group services.</w:t>
      </w:r>
      <w:r w:rsidR="00A01ADB" w:rsidRPr="007F7EAA">
        <w:rPr>
          <w:rFonts w:ascii="Arial" w:hAnsi="Arial" w:cs="Arial"/>
        </w:rPr>
        <w:t xml:space="preserve"> </w:t>
      </w:r>
      <w:r w:rsidR="00A01ADB" w:rsidRPr="007F7EAA">
        <w:rPr>
          <w:rFonts w:ascii="Arial" w:hAnsi="Arial" w:cs="Arial"/>
          <w:color w:val="000000"/>
        </w:rPr>
        <w:t xml:space="preserve">The table below </w:t>
      </w:r>
      <w:r w:rsidR="00A01ADB">
        <w:rPr>
          <w:rFonts w:ascii="Arial" w:hAnsi="Arial" w:cs="Arial"/>
          <w:color w:val="000000"/>
        </w:rPr>
        <w:t>display</w:t>
      </w:r>
      <w:r w:rsidR="00A01ADB" w:rsidRPr="007F7EAA">
        <w:rPr>
          <w:rFonts w:ascii="Arial" w:hAnsi="Arial" w:cs="Arial"/>
          <w:color w:val="000000"/>
        </w:rPr>
        <w:t xml:space="preserve">s the </w:t>
      </w:r>
      <w:r w:rsidR="00A01ADB" w:rsidRPr="007F7EAA">
        <w:rPr>
          <w:rFonts w:ascii="Arial" w:hAnsi="Arial" w:cs="Arial"/>
          <w:color w:val="000000"/>
        </w:rPr>
        <w:lastRenderedPageBreak/>
        <w:t>most common billing code</w:t>
      </w:r>
      <w:r w:rsidR="00A01ADB">
        <w:rPr>
          <w:rFonts w:ascii="Arial" w:hAnsi="Arial" w:cs="Arial"/>
          <w:color w:val="000000"/>
        </w:rPr>
        <w:t xml:space="preserve"> </w:t>
      </w:r>
      <w:r w:rsidR="00A01ADB" w:rsidRPr="007F7EAA">
        <w:rPr>
          <w:rFonts w:ascii="Arial" w:hAnsi="Arial" w:cs="Arial"/>
          <w:color w:val="000000"/>
        </w:rPr>
        <w:t>for speech, language, and hearing</w:t>
      </w:r>
      <w:r w:rsidR="00A01ADB">
        <w:rPr>
          <w:rFonts w:ascii="Arial" w:hAnsi="Arial" w:cs="Arial"/>
          <w:color w:val="000000"/>
        </w:rPr>
        <w:t xml:space="preserve"> </w:t>
      </w:r>
      <w:r w:rsidR="00A01ADB" w:rsidRPr="00B338ED">
        <w:rPr>
          <w:rFonts w:ascii="Arial" w:hAnsi="Arial" w:cs="Arial"/>
          <w:color w:val="000000"/>
          <w:u w:val="single"/>
        </w:rPr>
        <w:t>group</w:t>
      </w:r>
      <w:r w:rsidR="00A01ADB" w:rsidRPr="007F7EAA">
        <w:rPr>
          <w:rFonts w:ascii="Arial" w:hAnsi="Arial" w:cs="Arial"/>
          <w:color w:val="000000"/>
        </w:rPr>
        <w:t xml:space="preserve"> services for the</w:t>
      </w:r>
      <w:r w:rsidR="00A17370">
        <w:rPr>
          <w:rFonts w:ascii="Arial" w:hAnsi="Arial" w:cs="Arial"/>
          <w:color w:val="000000"/>
        </w:rPr>
        <w:t xml:space="preserve"> </w:t>
      </w:r>
      <w:r w:rsidR="00A01ADB" w:rsidRPr="007F7EAA">
        <w:rPr>
          <w:rFonts w:ascii="Arial" w:hAnsi="Arial" w:cs="Arial"/>
          <w:color w:val="000000"/>
        </w:rPr>
        <w:t xml:space="preserve">SBS Program. </w:t>
      </w:r>
    </w:p>
    <w:tbl>
      <w:tblPr>
        <w:tblStyle w:val="TableGrid2"/>
        <w:tblW w:w="9535" w:type="dxa"/>
        <w:tblLook w:val="04A0" w:firstRow="1" w:lastRow="0" w:firstColumn="1" w:lastColumn="0" w:noHBand="0" w:noVBand="1"/>
      </w:tblPr>
      <w:tblGrid>
        <w:gridCol w:w="1861"/>
        <w:gridCol w:w="7674"/>
      </w:tblGrid>
      <w:tr w:rsidR="00A01ADB" w:rsidRPr="004213C4" w14:paraId="357A7F3C" w14:textId="77777777">
        <w:trPr>
          <w:trHeight w:val="287"/>
        </w:trPr>
        <w:tc>
          <w:tcPr>
            <w:tcW w:w="9535" w:type="dxa"/>
            <w:gridSpan w:val="2"/>
            <w:shd w:val="clear" w:color="auto" w:fill="5B9BD5" w:themeFill="accent1"/>
          </w:tcPr>
          <w:bookmarkEnd w:id="5"/>
          <w:p w14:paraId="5446A6D1" w14:textId="77777777" w:rsidR="00A01ADB" w:rsidRPr="001F0F91" w:rsidRDefault="00A01ADB" w:rsidP="00B911B0">
            <w:pPr>
              <w:keepNext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1F0F91">
              <w:rPr>
                <w:rFonts w:ascii="Arial" w:eastAsia="Calibri" w:hAnsi="Arial" w:cs="Arial"/>
                <w:b/>
                <w:color w:val="FFFFFF" w:themeColor="background1"/>
              </w:rPr>
              <w:t>Group Services</w:t>
            </w:r>
          </w:p>
        </w:tc>
      </w:tr>
      <w:tr w:rsidR="00A01ADB" w:rsidRPr="004213C4" w14:paraId="0E019B3C" w14:textId="77777777">
        <w:tc>
          <w:tcPr>
            <w:tcW w:w="1861" w:type="dxa"/>
            <w:shd w:val="clear" w:color="auto" w:fill="FFF2CC" w:themeFill="accent4" w:themeFillTint="33"/>
          </w:tcPr>
          <w:p w14:paraId="376FFC6F" w14:textId="77777777" w:rsidR="00A01ADB" w:rsidRPr="004213C4" w:rsidRDefault="00A01ADB">
            <w:pPr>
              <w:jc w:val="center"/>
              <w:rPr>
                <w:rFonts w:ascii="Arial" w:eastAsia="Calibri" w:hAnsi="Arial" w:cs="Arial"/>
                <w:b/>
              </w:rPr>
            </w:pPr>
            <w:r w:rsidRPr="004213C4">
              <w:rPr>
                <w:rFonts w:ascii="Arial" w:eastAsia="Calibri" w:hAnsi="Arial" w:cs="Arial"/>
                <w:b/>
              </w:rPr>
              <w:t>CPT Codes</w:t>
            </w:r>
          </w:p>
        </w:tc>
        <w:tc>
          <w:tcPr>
            <w:tcW w:w="7674" w:type="dxa"/>
            <w:shd w:val="clear" w:color="auto" w:fill="FFF2CC" w:themeFill="accent4" w:themeFillTint="33"/>
          </w:tcPr>
          <w:p w14:paraId="5E340DC8" w14:textId="77777777" w:rsidR="00A01ADB" w:rsidRPr="004213C4" w:rsidRDefault="00A01ADB">
            <w:pPr>
              <w:rPr>
                <w:rFonts w:ascii="Arial" w:eastAsia="Calibri" w:hAnsi="Arial" w:cs="Arial"/>
                <w:b/>
              </w:rPr>
            </w:pPr>
            <w:r w:rsidRPr="004213C4">
              <w:rPr>
                <w:rFonts w:ascii="Arial" w:eastAsia="Calibri" w:hAnsi="Arial" w:cs="Arial"/>
                <w:b/>
              </w:rPr>
              <w:t>Short Description</w:t>
            </w:r>
          </w:p>
        </w:tc>
      </w:tr>
      <w:tr w:rsidR="00A01ADB" w:rsidRPr="004213C4" w14:paraId="7376F7BC" w14:textId="77777777">
        <w:tc>
          <w:tcPr>
            <w:tcW w:w="1861" w:type="dxa"/>
          </w:tcPr>
          <w:p w14:paraId="6EACFDA6" w14:textId="77777777" w:rsidR="00A01ADB" w:rsidRPr="004213C4" w:rsidRDefault="00A01ADB">
            <w:pPr>
              <w:jc w:val="center"/>
              <w:rPr>
                <w:rFonts w:ascii="Arial" w:eastAsia="Calibri" w:hAnsi="Arial" w:cs="Arial"/>
              </w:rPr>
            </w:pPr>
            <w:r w:rsidRPr="004213C4">
              <w:rPr>
                <w:rFonts w:ascii="Arial" w:eastAsia="Calibri" w:hAnsi="Arial" w:cs="Arial"/>
              </w:rPr>
              <w:t>92508</w:t>
            </w:r>
          </w:p>
        </w:tc>
        <w:tc>
          <w:tcPr>
            <w:tcW w:w="7674" w:type="dxa"/>
          </w:tcPr>
          <w:p w14:paraId="7D8BB3A0" w14:textId="77777777" w:rsidR="00A01ADB" w:rsidRPr="004213C4" w:rsidRDefault="00A01ADB">
            <w:pPr>
              <w:rPr>
                <w:rFonts w:ascii="Arial" w:eastAsia="Calibri" w:hAnsi="Arial" w:cs="Arial"/>
              </w:rPr>
            </w:pPr>
            <w:r w:rsidRPr="004213C4">
              <w:rPr>
                <w:rFonts w:ascii="Arial" w:eastAsia="Calibri" w:hAnsi="Arial" w:cs="Arial"/>
              </w:rPr>
              <w:t>Speech/Hearing Therapy, Group; Per session</w:t>
            </w:r>
          </w:p>
        </w:tc>
      </w:tr>
    </w:tbl>
    <w:p w14:paraId="17F603F8" w14:textId="77777777" w:rsidR="004A2F9B" w:rsidRPr="005778DC" w:rsidRDefault="004553D5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4A2F9B" w:rsidRPr="005778DC">
        <w:rPr>
          <w:rFonts w:ascii="Arial" w:hAnsi="Arial" w:cs="Arial"/>
          <w:b/>
          <w:bCs/>
          <w:color w:val="000000"/>
        </w:rPr>
        <w:t>DIAGNOSIS CODES</w:t>
      </w:r>
    </w:p>
    <w:p w14:paraId="48CCE5C7" w14:textId="19E29DD1" w:rsidR="009F61BC" w:rsidRPr="009F61BC" w:rsidRDefault="00545ABD" w:rsidP="009F61BC">
      <w:pPr>
        <w:spacing w:before="120" w:after="120"/>
        <w:rPr>
          <w:rFonts w:ascii="Arial" w:hAnsi="Arial"/>
        </w:rPr>
      </w:pPr>
      <w:r w:rsidRPr="00545ABD">
        <w:rPr>
          <w:rFonts w:ascii="Arial" w:hAnsi="Arial"/>
        </w:rPr>
        <w:t xml:space="preserve">ICD-10-CM diagnosis codes </w:t>
      </w:r>
      <w:proofErr w:type="gramStart"/>
      <w:r w:rsidRPr="00545ABD">
        <w:rPr>
          <w:rFonts w:ascii="Arial" w:hAnsi="Arial"/>
        </w:rPr>
        <w:t>are identified</w:t>
      </w:r>
      <w:proofErr w:type="gramEnd"/>
      <w:r w:rsidRPr="00545ABD">
        <w:rPr>
          <w:rFonts w:ascii="Arial" w:hAnsi="Arial"/>
        </w:rPr>
        <w:t xml:space="preserve"> in the </w:t>
      </w:r>
      <w:r w:rsidRPr="00545ABD">
        <w:rPr>
          <w:rFonts w:ascii="Arial" w:hAnsi="Arial"/>
          <w:i/>
          <w:iCs/>
        </w:rPr>
        <w:t xml:space="preserve">International Classification of Diseases, 10th Revision, Clinical Modification </w:t>
      </w:r>
      <w:r w:rsidRPr="00545ABD">
        <w:rPr>
          <w:rFonts w:ascii="Arial" w:hAnsi="Arial"/>
        </w:rPr>
        <w:t>(ICD-10-CM) code book that was developed to create international uniformity in diagnosing health conditions.</w:t>
      </w:r>
      <w:r w:rsidR="009F61BC" w:rsidRPr="009F61BC">
        <w:rPr>
          <w:rFonts w:ascii="Arial" w:hAnsi="Arial"/>
          <w:b/>
          <w:bCs/>
        </w:rPr>
        <w:t xml:space="preserve"> </w:t>
      </w:r>
      <w:r w:rsidR="009F61BC" w:rsidRPr="001F0F91">
        <w:rPr>
          <w:rFonts w:ascii="Arial" w:hAnsi="Arial"/>
          <w:i/>
          <w:iCs/>
        </w:rPr>
        <w:t>Note</w:t>
      </w:r>
      <w:r w:rsidR="009F61BC" w:rsidRPr="00545ABD">
        <w:rPr>
          <w:rFonts w:ascii="Arial" w:hAnsi="Arial"/>
          <w:b/>
          <w:bCs/>
        </w:rPr>
        <w:t xml:space="preserve">: </w:t>
      </w:r>
      <w:r w:rsidR="009F61BC" w:rsidRPr="00545ABD">
        <w:rPr>
          <w:rFonts w:ascii="Arial" w:hAnsi="Arial"/>
        </w:rPr>
        <w:t xml:space="preserve">ICD-10-CM codes must </w:t>
      </w:r>
      <w:proofErr w:type="gramStart"/>
      <w:r w:rsidR="009F61BC" w:rsidRPr="00545ABD">
        <w:rPr>
          <w:rFonts w:ascii="Arial" w:hAnsi="Arial"/>
        </w:rPr>
        <w:t>be included</w:t>
      </w:r>
      <w:proofErr w:type="gramEnd"/>
      <w:r w:rsidR="009F61BC" w:rsidRPr="00545ABD">
        <w:rPr>
          <w:rFonts w:ascii="Arial" w:hAnsi="Arial"/>
        </w:rPr>
        <w:t xml:space="preserve"> on the claim or the claim will be denied. </w:t>
      </w:r>
    </w:p>
    <w:p w14:paraId="19468378" w14:textId="77777777" w:rsidR="00B338ED" w:rsidRDefault="00B338ED" w:rsidP="00385654">
      <w:pPr>
        <w:spacing w:before="120" w:after="120"/>
        <w:rPr>
          <w:rFonts w:ascii="Arial" w:hAnsi="Arial"/>
        </w:rPr>
      </w:pPr>
    </w:p>
    <w:p w14:paraId="7B435B9D" w14:textId="09C9AEE0" w:rsidR="004553D5" w:rsidRDefault="004A2F9B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MODIFERS </w:t>
      </w:r>
    </w:p>
    <w:p w14:paraId="0208C49E" w14:textId="166E57BF" w:rsidR="004213C4" w:rsidRDefault="004213C4" w:rsidP="004213C4">
      <w:pPr>
        <w:rPr>
          <w:rFonts w:ascii="Arial" w:hAnsi="Arial" w:cs="Arial"/>
        </w:rPr>
      </w:pPr>
      <w:r w:rsidRPr="004213C4">
        <w:rPr>
          <w:rFonts w:ascii="Arial" w:hAnsi="Arial" w:cs="Arial"/>
        </w:rPr>
        <w:t>Modifiers are codes added on a claim line with the procedure code to supply further information about a CPT or HCPCS code, such as who performs the service.</w:t>
      </w:r>
      <w:r w:rsidRPr="004213C4">
        <w:rPr>
          <w:rFonts w:ascii="Arial" w:hAnsi="Arial" w:cs="Arial"/>
          <w:color w:val="00304C"/>
          <w:shd w:val="clear" w:color="auto" w:fill="FFFFFF"/>
        </w:rPr>
        <w:t xml:space="preserve"> </w:t>
      </w:r>
      <w:r w:rsidRPr="004213C4">
        <w:rPr>
          <w:rFonts w:ascii="Arial" w:hAnsi="Arial" w:cs="Arial"/>
          <w:shd w:val="clear" w:color="auto" w:fill="FFFFFF"/>
        </w:rPr>
        <w:t xml:space="preserve">Modifiers </w:t>
      </w:r>
      <w:r w:rsidRPr="004213C4">
        <w:rPr>
          <w:rFonts w:ascii="Arial" w:hAnsi="Arial" w:cs="Arial"/>
        </w:rPr>
        <w:t xml:space="preserve">are always two characters and </w:t>
      </w:r>
      <w:proofErr w:type="gramStart"/>
      <w:r w:rsidRPr="004213C4">
        <w:rPr>
          <w:rFonts w:ascii="Arial" w:hAnsi="Arial" w:cs="Arial"/>
        </w:rPr>
        <w:t>are added</w:t>
      </w:r>
      <w:proofErr w:type="gramEnd"/>
      <w:r w:rsidRPr="004213C4">
        <w:rPr>
          <w:rFonts w:ascii="Arial" w:hAnsi="Arial" w:cs="Arial"/>
        </w:rPr>
        <w:t xml:space="preserve"> to the end of a HCPCS or CPT code with a hyphen. </w:t>
      </w:r>
      <w:r w:rsidR="00A01ADB">
        <w:rPr>
          <w:rFonts w:ascii="Arial" w:hAnsi="Arial" w:cs="Arial"/>
        </w:rPr>
        <w:t>The table below displays a</w:t>
      </w:r>
      <w:r w:rsidRPr="004213C4">
        <w:rPr>
          <w:rFonts w:ascii="Arial" w:hAnsi="Arial" w:cs="Arial"/>
        </w:rPr>
        <w:t xml:space="preserve"> list of the modifiers pertaining to the speech, language, and hearing services for the SBS Program</w:t>
      </w:r>
      <w:r w:rsidR="00A01ADB">
        <w:rPr>
          <w:rFonts w:ascii="Arial" w:hAnsi="Arial" w:cs="Arial"/>
        </w:rPr>
        <w:t>.</w:t>
      </w:r>
      <w:r w:rsidRPr="004213C4">
        <w:rPr>
          <w:rFonts w:ascii="Arial" w:hAnsi="Arial" w:cs="Arial"/>
        </w:rPr>
        <w:t xml:space="preserve"> </w:t>
      </w:r>
    </w:p>
    <w:p w14:paraId="7EBBBE1B" w14:textId="77777777" w:rsidR="004213C4" w:rsidRPr="004213C4" w:rsidRDefault="004213C4" w:rsidP="004213C4">
      <w:pPr>
        <w:rPr>
          <w:rFonts w:ascii="Arial" w:hAnsi="Arial" w:cs="Arial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1340"/>
        <w:gridCol w:w="8190"/>
      </w:tblGrid>
      <w:tr w:rsidR="004213C4" w:rsidRPr="004213C4" w14:paraId="04F15CB6" w14:textId="77777777" w:rsidTr="001F49B0">
        <w:trPr>
          <w:trHeight w:val="290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bottom"/>
            <w:hideMark/>
          </w:tcPr>
          <w:p w14:paraId="5F4F6C0F" w14:textId="77777777" w:rsidR="004213C4" w:rsidRPr="004213C4" w:rsidRDefault="004213C4" w:rsidP="004213C4">
            <w:pPr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 w:rsidRPr="001F0F91">
              <w:rPr>
                <w:rFonts w:ascii="Arial" w:hAnsi="Arial"/>
                <w:b/>
                <w:color w:val="FFFFFF" w:themeColor="background1"/>
                <w:szCs w:val="20"/>
              </w:rPr>
              <w:t xml:space="preserve">Modifiers </w:t>
            </w:r>
          </w:p>
        </w:tc>
      </w:tr>
      <w:tr w:rsidR="004213C4" w:rsidRPr="004213C4" w14:paraId="0406BA20" w14:textId="77777777" w:rsidTr="004213C4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0D2"/>
            <w:noWrap/>
            <w:vAlign w:val="bottom"/>
            <w:hideMark/>
          </w:tcPr>
          <w:p w14:paraId="3A7E5CC1" w14:textId="77777777" w:rsidR="004213C4" w:rsidRPr="004213C4" w:rsidRDefault="004213C4" w:rsidP="004213C4">
            <w:pPr>
              <w:jc w:val="center"/>
              <w:rPr>
                <w:rFonts w:ascii="Arial" w:eastAsia="Calibri" w:hAnsi="Arial" w:cs="Arial"/>
                <w:b/>
              </w:rPr>
            </w:pPr>
            <w:r w:rsidRPr="004213C4">
              <w:rPr>
                <w:rFonts w:ascii="Arial" w:eastAsia="Calibri" w:hAnsi="Arial" w:cs="Arial"/>
                <w:b/>
              </w:rPr>
              <w:t>Modifier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F0D2"/>
            <w:noWrap/>
            <w:vAlign w:val="bottom"/>
            <w:hideMark/>
          </w:tcPr>
          <w:p w14:paraId="1CB91927" w14:textId="77777777" w:rsidR="004213C4" w:rsidRPr="004213C4" w:rsidRDefault="004213C4" w:rsidP="004213C4">
            <w:pPr>
              <w:rPr>
                <w:rFonts w:ascii="Arial" w:eastAsia="Calibri" w:hAnsi="Arial" w:cs="Arial"/>
                <w:b/>
              </w:rPr>
            </w:pPr>
            <w:r w:rsidRPr="004213C4">
              <w:rPr>
                <w:rFonts w:ascii="Arial" w:eastAsia="Calibri" w:hAnsi="Arial" w:cs="Arial"/>
                <w:b/>
              </w:rPr>
              <w:t xml:space="preserve">Description </w:t>
            </w:r>
          </w:p>
        </w:tc>
      </w:tr>
      <w:tr w:rsidR="004213C4" w:rsidRPr="004213C4" w14:paraId="3302039A" w14:textId="77777777" w:rsidTr="001F0F91">
        <w:trPr>
          <w:trHeight w:val="5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EFCC" w14:textId="77777777" w:rsidR="004213C4" w:rsidRPr="004213C4" w:rsidRDefault="004213C4" w:rsidP="00D56790">
            <w:pPr>
              <w:jc w:val="center"/>
              <w:rPr>
                <w:rFonts w:ascii="Arial" w:hAnsi="Arial" w:cs="Arial"/>
                <w:color w:val="000000"/>
              </w:rPr>
            </w:pPr>
            <w:r w:rsidRPr="004213C4">
              <w:rPr>
                <w:rFonts w:ascii="Arial" w:hAnsi="Arial" w:cs="Arial"/>
                <w:color w:val="000000"/>
              </w:rPr>
              <w:t>GN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F3775" w14:textId="77777777" w:rsidR="004213C4" w:rsidRPr="004213C4" w:rsidRDefault="004213C4" w:rsidP="004213C4">
            <w:pPr>
              <w:rPr>
                <w:rFonts w:ascii="Arial" w:hAnsi="Arial" w:cs="Arial"/>
                <w:color w:val="000000"/>
              </w:rPr>
            </w:pPr>
            <w:bookmarkStart w:id="6" w:name="_Hlk107392592"/>
            <w:r w:rsidRPr="004213C4">
              <w:rPr>
                <w:rFonts w:ascii="Arial" w:hAnsi="Arial" w:cs="Arial"/>
                <w:color w:val="000000"/>
              </w:rPr>
              <w:t>Speech-language pathology assistant or</w:t>
            </w:r>
          </w:p>
          <w:p w14:paraId="547F4EE1" w14:textId="77777777" w:rsidR="004213C4" w:rsidRPr="004213C4" w:rsidRDefault="004213C4" w:rsidP="004213C4">
            <w:pPr>
              <w:rPr>
                <w:rFonts w:ascii="Arial" w:hAnsi="Arial" w:cs="Arial"/>
                <w:color w:val="000000"/>
              </w:rPr>
            </w:pPr>
            <w:r w:rsidRPr="004213C4">
              <w:rPr>
                <w:rFonts w:ascii="Arial" w:hAnsi="Arial" w:cs="Arial"/>
                <w:color w:val="000000"/>
              </w:rPr>
              <w:t>Speech-language pathology aide</w:t>
            </w:r>
            <w:bookmarkEnd w:id="6"/>
          </w:p>
        </w:tc>
      </w:tr>
      <w:tr w:rsidR="004213C4" w:rsidRPr="004213C4" w14:paraId="729B8D66" w14:textId="77777777" w:rsidTr="001F0F91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FA11" w14:textId="77777777" w:rsidR="004213C4" w:rsidRPr="004213C4" w:rsidRDefault="004213C4" w:rsidP="00D56790">
            <w:pPr>
              <w:jc w:val="center"/>
              <w:rPr>
                <w:rFonts w:ascii="Arial" w:hAnsi="Arial" w:cs="Arial"/>
                <w:color w:val="000000"/>
              </w:rPr>
            </w:pPr>
            <w:r w:rsidRPr="004213C4">
              <w:rPr>
                <w:rFonts w:ascii="Arial" w:hAnsi="Arial" w:cs="Arial"/>
                <w:color w:val="000000"/>
              </w:rPr>
              <w:t>GT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65730" w14:textId="77777777" w:rsidR="004213C4" w:rsidRPr="004213C4" w:rsidRDefault="004213C4" w:rsidP="004213C4">
            <w:pPr>
              <w:rPr>
                <w:rFonts w:ascii="Arial" w:hAnsi="Arial" w:cs="Arial"/>
                <w:color w:val="000000"/>
              </w:rPr>
            </w:pPr>
            <w:r w:rsidRPr="004213C4">
              <w:rPr>
                <w:rFonts w:ascii="Arial" w:hAnsi="Arial" w:cs="Arial"/>
                <w:color w:val="000000"/>
              </w:rPr>
              <w:t>Telehealth: Via interactive audio and video telecommunications systems.</w:t>
            </w:r>
          </w:p>
        </w:tc>
      </w:tr>
    </w:tbl>
    <w:p w14:paraId="0E336D65" w14:textId="3D17B7A8" w:rsidR="007C1DA3" w:rsidRDefault="007C1DA3" w:rsidP="00706389">
      <w:pPr>
        <w:pStyle w:val="BodyText"/>
        <w:rPr>
          <w:rFonts w:cs="Arial"/>
          <w:sz w:val="24"/>
          <w:szCs w:val="24"/>
        </w:rPr>
      </w:pPr>
    </w:p>
    <w:p w14:paraId="51ED6E63" w14:textId="59C119A1" w:rsidR="00B338ED" w:rsidRPr="00B338ED" w:rsidRDefault="00B338ED" w:rsidP="00706389">
      <w:pPr>
        <w:pStyle w:val="BodyText"/>
        <w:rPr>
          <w:rFonts w:cs="Arial"/>
          <w:b/>
          <w:bCs/>
          <w:sz w:val="24"/>
          <w:szCs w:val="24"/>
        </w:rPr>
      </w:pPr>
      <w:r w:rsidRPr="00B338ED">
        <w:rPr>
          <w:rFonts w:cs="Arial"/>
          <w:b/>
          <w:bCs/>
          <w:sz w:val="24"/>
          <w:szCs w:val="24"/>
        </w:rPr>
        <w:t>RESOURCES</w:t>
      </w:r>
    </w:p>
    <w:p w14:paraId="3575F9CF" w14:textId="7CBBA0BC" w:rsidR="00B338ED" w:rsidRPr="00B338ED" w:rsidRDefault="00B338ED" w:rsidP="00B338ED">
      <w:pPr>
        <w:pStyle w:val="BodyText"/>
        <w:rPr>
          <w:rFonts w:cs="Arial"/>
          <w:sz w:val="24"/>
          <w:szCs w:val="24"/>
        </w:rPr>
      </w:pPr>
      <w:r w:rsidRPr="00B338ED">
        <w:rPr>
          <w:rFonts w:cs="Arial"/>
          <w:sz w:val="24"/>
          <w:szCs w:val="24"/>
        </w:rPr>
        <w:t xml:space="preserve">The American Speech-Language-Hearing Association (ASHA) is the national professional, scientific, and credentialing association for 223,000 members and affiliates who are audiologists; speech-language pathologists; speech, language, and hearing scientists; audiology and speech-language pathology support personnel; and students. </w:t>
      </w:r>
      <w:r w:rsidR="001E57B4">
        <w:rPr>
          <w:rFonts w:cs="Arial"/>
          <w:sz w:val="24"/>
          <w:szCs w:val="24"/>
        </w:rPr>
        <w:t>The ASHA website is a great resource for speech, language, and hearing providers.</w:t>
      </w:r>
    </w:p>
    <w:p w14:paraId="60011ADD" w14:textId="7E854946" w:rsidR="00B338ED" w:rsidRPr="001E57B4" w:rsidRDefault="001E57B4" w:rsidP="001E57B4">
      <w:pPr>
        <w:pStyle w:val="BodyText"/>
        <w:numPr>
          <w:ilvl w:val="0"/>
          <w:numId w:val="26"/>
        </w:numPr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Link to ASHA’s homepage: </w:t>
      </w:r>
      <w:hyperlink r:id="rId14" w:history="1">
        <w:r w:rsidRPr="00E73133">
          <w:rPr>
            <w:rStyle w:val="Hyperlink"/>
            <w:rFonts w:cs="Arial"/>
            <w:sz w:val="24"/>
            <w:szCs w:val="24"/>
          </w:rPr>
          <w:t>https://www.asha.org/</w:t>
        </w:r>
      </w:hyperlink>
    </w:p>
    <w:p w14:paraId="48F9E47F" w14:textId="61A3FDE9" w:rsidR="00412640" w:rsidRPr="00412640" w:rsidRDefault="00412640" w:rsidP="00412640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ASHA’s </w:t>
      </w:r>
      <w:r w:rsidRPr="00412640">
        <w:rPr>
          <w:rFonts w:ascii="Arial" w:hAnsi="Arial" w:cs="Arial"/>
          <w:color w:val="000000"/>
          <w:sz w:val="24"/>
          <w:szCs w:val="24"/>
        </w:rPr>
        <w:t>2023 ICD-10-CM Diagnosis Codes Related to Speech, Language, and Swallowing Disorders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hyperlink r:id="rId15" w:history="1">
        <w:r w:rsidRPr="00E73133">
          <w:rPr>
            <w:rStyle w:val="Hyperlink"/>
            <w:rFonts w:ascii="Arial" w:hAnsi="Arial" w:cs="Arial"/>
            <w:sz w:val="24"/>
            <w:szCs w:val="24"/>
          </w:rPr>
          <w:t>https://www.asha.org/siteassets/uploadedfiles/icd-10-codes-slp.pdf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AC6ECD" w14:textId="1C6123F5" w:rsidR="001E57B4" w:rsidRDefault="00412640" w:rsidP="001E57B4">
      <w:pPr>
        <w:pStyle w:val="BodyText"/>
        <w:numPr>
          <w:ilvl w:val="0"/>
          <w:numId w:val="26"/>
        </w:numPr>
        <w:rPr>
          <w:rFonts w:cs="Arial"/>
          <w:sz w:val="24"/>
          <w:szCs w:val="24"/>
        </w:rPr>
      </w:pPr>
      <w:r w:rsidRPr="00412640">
        <w:rPr>
          <w:rFonts w:cs="Arial"/>
          <w:sz w:val="24"/>
          <w:szCs w:val="24"/>
        </w:rPr>
        <w:t>ASHA’s comprehensive list of speech, language, hearing related CPT codes and their descriptors</w:t>
      </w:r>
      <w:r>
        <w:rPr>
          <w:rFonts w:cs="Arial"/>
          <w:sz w:val="24"/>
          <w:szCs w:val="24"/>
        </w:rPr>
        <w:t xml:space="preserve">: </w:t>
      </w:r>
      <w:hyperlink r:id="rId16" w:history="1">
        <w:r w:rsidRPr="00E73133">
          <w:rPr>
            <w:rStyle w:val="Hyperlink"/>
            <w:rFonts w:cs="Arial"/>
            <w:sz w:val="24"/>
            <w:szCs w:val="24"/>
          </w:rPr>
          <w:t>https://www.asha.org/practice/reimbursement/coding/slpcpt/</w:t>
        </w:r>
      </w:hyperlink>
      <w:r>
        <w:rPr>
          <w:rFonts w:cs="Arial"/>
          <w:sz w:val="24"/>
          <w:szCs w:val="24"/>
        </w:rPr>
        <w:t xml:space="preserve"> </w:t>
      </w:r>
    </w:p>
    <w:p w14:paraId="55AD296C" w14:textId="25C4D244" w:rsidR="00412640" w:rsidRDefault="00412640" w:rsidP="001E57B4">
      <w:pPr>
        <w:pStyle w:val="BodyText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ASHA’s Medicaid in Schools Toolkit: </w:t>
      </w:r>
      <w:hyperlink r:id="rId17" w:history="1">
        <w:r w:rsidRPr="00E73133">
          <w:rPr>
            <w:rStyle w:val="Hyperlink"/>
            <w:rFonts w:cs="Arial"/>
            <w:sz w:val="24"/>
            <w:szCs w:val="24"/>
          </w:rPr>
          <w:t>https://www.asha.org/practice/reimbursement/medicaid/medicaid-toolkit-schools/</w:t>
        </w:r>
      </w:hyperlink>
      <w:r>
        <w:rPr>
          <w:rFonts w:cs="Arial"/>
          <w:sz w:val="24"/>
          <w:szCs w:val="24"/>
        </w:rPr>
        <w:t xml:space="preserve"> </w:t>
      </w:r>
    </w:p>
    <w:p w14:paraId="0AC32F9B" w14:textId="06FEE11C" w:rsidR="00412640" w:rsidRPr="00412640" w:rsidRDefault="00412640" w:rsidP="001E57B4">
      <w:pPr>
        <w:pStyle w:val="BodyText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ASHA’s guidance on Medicaid Payment for School-Based Services: </w:t>
      </w:r>
      <w:hyperlink r:id="rId18" w:history="1">
        <w:r w:rsidRPr="00E73133">
          <w:rPr>
            <w:rStyle w:val="Hyperlink"/>
            <w:rFonts w:cs="Arial"/>
            <w:sz w:val="24"/>
            <w:szCs w:val="24"/>
          </w:rPr>
          <w:t>https://www.asha.org/practice/reimbursement/medicaid/school-based_services/</w:t>
        </w:r>
      </w:hyperlink>
      <w:r>
        <w:rPr>
          <w:rFonts w:cs="Arial"/>
          <w:sz w:val="24"/>
          <w:szCs w:val="24"/>
        </w:rPr>
        <w:t xml:space="preserve"> </w:t>
      </w:r>
    </w:p>
    <w:p w14:paraId="6FD7990F" w14:textId="39DD2FFF" w:rsidR="00B338ED" w:rsidRDefault="00B338ED" w:rsidP="00706389">
      <w:pPr>
        <w:pStyle w:val="BodyText"/>
        <w:rPr>
          <w:rFonts w:cs="Arial"/>
          <w:sz w:val="24"/>
          <w:szCs w:val="24"/>
        </w:rPr>
      </w:pPr>
    </w:p>
    <w:p w14:paraId="758724BF" w14:textId="77777777" w:rsidR="00412640" w:rsidRDefault="00412640" w:rsidP="00706389">
      <w:pPr>
        <w:pStyle w:val="BodyText"/>
        <w:rPr>
          <w:rFonts w:cs="Arial"/>
          <w:sz w:val="24"/>
          <w:szCs w:val="24"/>
        </w:rPr>
      </w:pPr>
    </w:p>
    <w:p w14:paraId="4818EF9D" w14:textId="09AA930A" w:rsidR="00706389" w:rsidRDefault="00706389" w:rsidP="00706389">
      <w:pPr>
        <w:pStyle w:val="BodyText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 xml:space="preserve">If you have additional questions regarding the SBS Program, please contact the Wyoming Department of Health via email at </w:t>
      </w:r>
      <w:hyperlink r:id="rId19" w:history="1">
        <w:r>
          <w:rPr>
            <w:rStyle w:val="Hyperlink"/>
            <w:rFonts w:cs="Arial"/>
            <w:sz w:val="24"/>
            <w:szCs w:val="24"/>
          </w:rPr>
          <w:t>wdh-schoolbasedservices@wyo.gov</w:t>
        </w:r>
      </w:hyperlink>
      <w:r>
        <w:rPr>
          <w:rFonts w:cs="Arial"/>
          <w:sz w:val="24"/>
          <w:szCs w:val="24"/>
        </w:rPr>
        <w:t xml:space="preserve"> or </w:t>
      </w:r>
      <w:hyperlink r:id="rId20" w:history="1">
        <w:r>
          <w:rPr>
            <w:rStyle w:val="Hyperlink"/>
            <w:rFonts w:cs="Arial"/>
            <w:sz w:val="24"/>
            <w:szCs w:val="24"/>
          </w:rPr>
          <w:t>justin.browning1@wyo.gov</w:t>
        </w:r>
      </w:hyperlink>
      <w:r>
        <w:rPr>
          <w:rFonts w:cs="Arial"/>
          <w:sz w:val="24"/>
          <w:szCs w:val="24"/>
        </w:rPr>
        <w:t xml:space="preserve"> or by phone at (307) 777-7491.</w:t>
      </w:r>
    </w:p>
    <w:p w14:paraId="4C52582A" w14:textId="00832109" w:rsidR="00BE36C5" w:rsidRPr="00413257" w:rsidRDefault="00706389" w:rsidP="00D16DB7">
      <w:pPr>
        <w:pStyle w:val="BodyText"/>
      </w:pPr>
      <w:r>
        <w:rPr>
          <w:rFonts w:cs="Arial"/>
          <w:sz w:val="24"/>
          <w:szCs w:val="24"/>
        </w:rPr>
        <w:t>For more information on Wyoming’s SBS Program visit</w:t>
      </w:r>
      <w:r w:rsidR="00F8338D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hyperlink r:id="rId21" w:history="1">
        <w:r>
          <w:rPr>
            <w:rStyle w:val="Hyperlink"/>
            <w:rFonts w:cs="Arial"/>
            <w:sz w:val="24"/>
            <w:szCs w:val="24"/>
          </w:rPr>
          <w:t>https://health.wyo.gov/healthcarefin/medicaid/school-based-services/</w:t>
        </w:r>
      </w:hyperlink>
      <w:r>
        <w:rPr>
          <w:rFonts w:cs="Arial"/>
          <w:sz w:val="24"/>
          <w:szCs w:val="24"/>
        </w:rPr>
        <w:t xml:space="preserve"> </w:t>
      </w:r>
    </w:p>
    <w:p w14:paraId="0E0D2006" w14:textId="77777777" w:rsidR="00BE36C5" w:rsidRDefault="00BE36C5" w:rsidP="00BE5945"/>
    <w:p w14:paraId="2FAF2B57" w14:textId="77777777" w:rsidR="0095176A" w:rsidRDefault="0095176A" w:rsidP="00BE5945"/>
    <w:sectPr w:rsidR="0095176A" w:rsidSect="008B06C3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440" w:left="1440" w:header="45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BE55" w14:textId="77777777" w:rsidR="00C64B82" w:rsidRDefault="00C64B82">
      <w:r>
        <w:separator/>
      </w:r>
    </w:p>
  </w:endnote>
  <w:endnote w:type="continuationSeparator" w:id="0">
    <w:p w14:paraId="6F27DFD4" w14:textId="77777777" w:rsidR="00C64B82" w:rsidRDefault="00C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870F" w14:textId="77777777" w:rsidR="00C570AF" w:rsidRPr="004C765D" w:rsidRDefault="00C570AF" w:rsidP="004C765D">
    <w:pPr>
      <w:pStyle w:val="Footer"/>
    </w:pPr>
    <w:r w:rsidRPr="004C765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03FF" w14:textId="77777777" w:rsidR="00C570AF" w:rsidRDefault="00C570AF" w:rsidP="00E11437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6EE" w14:textId="77777777" w:rsidR="00C64B82" w:rsidRDefault="00C64B82">
      <w:r>
        <w:separator/>
      </w:r>
    </w:p>
  </w:footnote>
  <w:footnote w:type="continuationSeparator" w:id="0">
    <w:p w14:paraId="2B502B78" w14:textId="77777777" w:rsidR="00C64B82" w:rsidRDefault="00C6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76D5" w14:textId="77777777" w:rsidR="00C570AF" w:rsidRDefault="00C570AF">
    <w:pPr>
      <w:pStyle w:val="Header"/>
    </w:pPr>
    <w:r>
      <w:t xml:space="preserve">James Cain                                                                                                                        </w:t>
    </w:r>
    <w:smartTag w:uri="urn:schemas-microsoft-com:office:smarttags" w:element="date">
      <w:smartTagPr>
        <w:attr w:name="Month" w:val="2"/>
        <w:attr w:name="Day" w:val="28"/>
        <w:attr w:name="Year" w:val="2006"/>
      </w:smartTagPr>
      <w:r>
        <w:t>February 28, 2006</w:t>
      </w:r>
    </w:smartTag>
    <w:r>
      <w:t xml:space="preserve">                                                                       </w:t>
    </w:r>
  </w:p>
  <w:p w14:paraId="4B47A158" w14:textId="77777777" w:rsidR="00C570AF" w:rsidRDefault="00C570AF">
    <w:pPr>
      <w:pStyle w:val="Header"/>
    </w:pPr>
    <w:r>
      <w:t>Page 2                                                                                                                                  Ref. S-2006-212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56A1" w14:textId="537EB0FC" w:rsidR="00C570AF" w:rsidRPr="00F215EC" w:rsidRDefault="0065781D" w:rsidP="005E05CA">
    <w:pPr>
      <w:pStyle w:val="Header"/>
      <w:tabs>
        <w:tab w:val="clear" w:pos="4320"/>
        <w:tab w:val="clear" w:pos="8640"/>
        <w:tab w:val="right" w:pos="9360"/>
      </w:tabs>
      <w:rPr>
        <w:szCs w:val="20"/>
      </w:rPr>
    </w:pPr>
    <w:r>
      <w:rPr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A14497" w:rsidRPr="00B51C0C" w14:paraId="4234280B" w14:textId="77777777" w:rsidTr="0018045D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64F3461F" w14:textId="77777777"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18CF08C5" wp14:editId="59902456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D61111" w14:textId="77777777" w:rsidR="00A14497" w:rsidRPr="00D05CBB" w:rsidRDefault="00A14497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401 Hathaway Building • Cheyenne, WY 82002</w:t>
          </w:r>
        </w:p>
        <w:p w14:paraId="2659920B" w14:textId="77777777" w:rsidR="00A14497" w:rsidRPr="00D05CBB" w:rsidRDefault="00A14497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Phone (307) 777-7656 • 1-866-571-0944</w:t>
          </w:r>
        </w:p>
        <w:p w14:paraId="554473CE" w14:textId="77777777" w:rsidR="00A14497" w:rsidRPr="00D05CBB" w:rsidRDefault="00A14497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eastAsia="Calibri"/>
            </w:rPr>
            <w:t>Fax (307) 777-7439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3E1B8E70" w14:textId="77777777"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 wp14:anchorId="09CEEEFB" wp14:editId="62B2D0B3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14497" w:rsidRPr="00B51C0C" w14:paraId="7C17EE91" w14:textId="77777777" w:rsidTr="0018045D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5F1012A" w14:textId="77777777" w:rsidR="00A14497" w:rsidRPr="00D05CBB" w:rsidRDefault="00585753" w:rsidP="00D05CBB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Stefan Johansson</w:t>
          </w:r>
          <w:r w:rsidR="00A14497" w:rsidRPr="00D05CBB">
            <w:rPr>
              <w:rFonts w:eastAsia="Calibri"/>
              <w:sz w:val="22"/>
              <w:szCs w:val="22"/>
            </w:rPr>
            <w:t xml:space="preserve"> </w:t>
          </w:r>
          <w:r w:rsidR="00E12B1D">
            <w:rPr>
              <w:rFonts w:eastAsia="Calibri"/>
              <w:sz w:val="22"/>
              <w:szCs w:val="22"/>
            </w:rPr>
            <w:t>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9C699EC" w14:textId="77777777"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30BE1A2" w14:textId="77777777" w:rsidR="00A14497" w:rsidRPr="00D05CBB" w:rsidRDefault="006F4ABD" w:rsidP="00D05CBB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14:paraId="79DBB0BB" w14:textId="77777777"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14:paraId="3D283287" w14:textId="77777777" w:rsidR="00C570AF" w:rsidRPr="00A14497" w:rsidRDefault="00C570AF" w:rsidP="00A1449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B0"/>
    <w:multiLevelType w:val="hybridMultilevel"/>
    <w:tmpl w:val="FBE29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332EC"/>
    <w:multiLevelType w:val="hybridMultilevel"/>
    <w:tmpl w:val="663C97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AA1662"/>
    <w:multiLevelType w:val="hybridMultilevel"/>
    <w:tmpl w:val="AD2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F74"/>
    <w:multiLevelType w:val="hybridMultilevel"/>
    <w:tmpl w:val="A5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804EB"/>
    <w:multiLevelType w:val="hybridMultilevel"/>
    <w:tmpl w:val="CEF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855"/>
    <w:multiLevelType w:val="hybridMultilevel"/>
    <w:tmpl w:val="8D5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7CFE"/>
    <w:multiLevelType w:val="multilevel"/>
    <w:tmpl w:val="EB6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E1C23"/>
    <w:multiLevelType w:val="hybridMultilevel"/>
    <w:tmpl w:val="87AC6D04"/>
    <w:lvl w:ilvl="0" w:tplc="4D28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92D1D"/>
    <w:multiLevelType w:val="hybridMultilevel"/>
    <w:tmpl w:val="DD20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348DF"/>
    <w:multiLevelType w:val="hybridMultilevel"/>
    <w:tmpl w:val="943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5706"/>
    <w:multiLevelType w:val="hybridMultilevel"/>
    <w:tmpl w:val="83A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EBD"/>
    <w:multiLevelType w:val="hybridMultilevel"/>
    <w:tmpl w:val="EF5E7DE0"/>
    <w:lvl w:ilvl="0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4490002A"/>
    <w:multiLevelType w:val="hybridMultilevel"/>
    <w:tmpl w:val="D1B6DA54"/>
    <w:lvl w:ilvl="0" w:tplc="479ED5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A4D10"/>
    <w:multiLevelType w:val="hybridMultilevel"/>
    <w:tmpl w:val="6CE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3571"/>
    <w:multiLevelType w:val="hybridMultilevel"/>
    <w:tmpl w:val="B2A63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1CA74AC"/>
    <w:multiLevelType w:val="hybridMultilevel"/>
    <w:tmpl w:val="9BA6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A4130"/>
    <w:multiLevelType w:val="hybridMultilevel"/>
    <w:tmpl w:val="43D25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B28AB"/>
    <w:multiLevelType w:val="hybridMultilevel"/>
    <w:tmpl w:val="A0E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E347A"/>
    <w:multiLevelType w:val="hybridMultilevel"/>
    <w:tmpl w:val="B54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83E77"/>
    <w:multiLevelType w:val="hybridMultilevel"/>
    <w:tmpl w:val="704E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A16E8"/>
    <w:multiLevelType w:val="hybridMultilevel"/>
    <w:tmpl w:val="EF5E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5CAF"/>
    <w:multiLevelType w:val="hybridMultilevel"/>
    <w:tmpl w:val="0E36A466"/>
    <w:lvl w:ilvl="0" w:tplc="556ECB3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E5E04"/>
    <w:multiLevelType w:val="hybridMultilevel"/>
    <w:tmpl w:val="E4CA9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3841AD"/>
    <w:multiLevelType w:val="hybridMultilevel"/>
    <w:tmpl w:val="BBB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1223"/>
    <w:multiLevelType w:val="hybridMultilevel"/>
    <w:tmpl w:val="E0663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D9B7427"/>
    <w:multiLevelType w:val="hybridMultilevel"/>
    <w:tmpl w:val="AA4E1D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1644113651">
    <w:abstractNumId w:val="1"/>
  </w:num>
  <w:num w:numId="2" w16cid:durableId="1384213718">
    <w:abstractNumId w:val="0"/>
  </w:num>
  <w:num w:numId="3" w16cid:durableId="1839684729">
    <w:abstractNumId w:val="7"/>
  </w:num>
  <w:num w:numId="4" w16cid:durableId="32198898">
    <w:abstractNumId w:val="16"/>
  </w:num>
  <w:num w:numId="5" w16cid:durableId="1763263212">
    <w:abstractNumId w:val="23"/>
  </w:num>
  <w:num w:numId="6" w16cid:durableId="798106504">
    <w:abstractNumId w:val="3"/>
  </w:num>
  <w:num w:numId="7" w16cid:durableId="323052518">
    <w:abstractNumId w:val="22"/>
  </w:num>
  <w:num w:numId="8" w16cid:durableId="891967006">
    <w:abstractNumId w:val="21"/>
  </w:num>
  <w:num w:numId="9" w16cid:durableId="2144496888">
    <w:abstractNumId w:val="5"/>
  </w:num>
  <w:num w:numId="10" w16cid:durableId="1666711964">
    <w:abstractNumId w:val="10"/>
  </w:num>
  <w:num w:numId="11" w16cid:durableId="1785688462">
    <w:abstractNumId w:val="4"/>
  </w:num>
  <w:num w:numId="12" w16cid:durableId="1760522830">
    <w:abstractNumId w:val="18"/>
  </w:num>
  <w:num w:numId="13" w16cid:durableId="835264064">
    <w:abstractNumId w:val="9"/>
  </w:num>
  <w:num w:numId="14" w16cid:durableId="1660115904">
    <w:abstractNumId w:val="14"/>
  </w:num>
  <w:num w:numId="15" w16cid:durableId="1315602041">
    <w:abstractNumId w:val="24"/>
  </w:num>
  <w:num w:numId="16" w16cid:durableId="1892568564">
    <w:abstractNumId w:val="25"/>
  </w:num>
  <w:num w:numId="17" w16cid:durableId="1815216297">
    <w:abstractNumId w:val="11"/>
  </w:num>
  <w:num w:numId="18" w16cid:durableId="951862642">
    <w:abstractNumId w:val="19"/>
  </w:num>
  <w:num w:numId="19" w16cid:durableId="1316295333">
    <w:abstractNumId w:val="20"/>
  </w:num>
  <w:num w:numId="20" w16cid:durableId="485361753">
    <w:abstractNumId w:val="13"/>
  </w:num>
  <w:num w:numId="21" w16cid:durableId="899512112">
    <w:abstractNumId w:val="2"/>
  </w:num>
  <w:num w:numId="22" w16cid:durableId="553808698">
    <w:abstractNumId w:val="6"/>
  </w:num>
  <w:num w:numId="23" w16cid:durableId="35472168">
    <w:abstractNumId w:val="8"/>
  </w:num>
  <w:num w:numId="24" w16cid:durableId="2075085808">
    <w:abstractNumId w:val="17"/>
  </w:num>
  <w:num w:numId="25" w16cid:durableId="1991016241">
    <w:abstractNumId w:val="15"/>
  </w:num>
  <w:num w:numId="26" w16cid:durableId="1055082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2D"/>
    <w:rsid w:val="0000016D"/>
    <w:rsid w:val="000174FF"/>
    <w:rsid w:val="00021494"/>
    <w:rsid w:val="00023730"/>
    <w:rsid w:val="00026292"/>
    <w:rsid w:val="00027A6F"/>
    <w:rsid w:val="00033797"/>
    <w:rsid w:val="00033808"/>
    <w:rsid w:val="00034388"/>
    <w:rsid w:val="00035470"/>
    <w:rsid w:val="00041A1B"/>
    <w:rsid w:val="00066F76"/>
    <w:rsid w:val="000739E0"/>
    <w:rsid w:val="0007564A"/>
    <w:rsid w:val="000857E1"/>
    <w:rsid w:val="0009725A"/>
    <w:rsid w:val="00097843"/>
    <w:rsid w:val="000A5BB9"/>
    <w:rsid w:val="000C0279"/>
    <w:rsid w:val="000C3CB6"/>
    <w:rsid w:val="000E0C62"/>
    <w:rsid w:val="000E1A3E"/>
    <w:rsid w:val="000E7DCE"/>
    <w:rsid w:val="00106F33"/>
    <w:rsid w:val="00112D52"/>
    <w:rsid w:val="001148BE"/>
    <w:rsid w:val="0015004D"/>
    <w:rsid w:val="00151098"/>
    <w:rsid w:val="0018045D"/>
    <w:rsid w:val="001831BA"/>
    <w:rsid w:val="00191BEC"/>
    <w:rsid w:val="001975F1"/>
    <w:rsid w:val="001A0272"/>
    <w:rsid w:val="001A09ED"/>
    <w:rsid w:val="001B47C2"/>
    <w:rsid w:val="001B7FD8"/>
    <w:rsid w:val="001D40BB"/>
    <w:rsid w:val="001E57B4"/>
    <w:rsid w:val="001F0F91"/>
    <w:rsid w:val="001F2D60"/>
    <w:rsid w:val="001F498C"/>
    <w:rsid w:val="001F49B0"/>
    <w:rsid w:val="002054AF"/>
    <w:rsid w:val="002079AE"/>
    <w:rsid w:val="00217692"/>
    <w:rsid w:val="00220026"/>
    <w:rsid w:val="002341A1"/>
    <w:rsid w:val="00237A21"/>
    <w:rsid w:val="0024470D"/>
    <w:rsid w:val="002512B3"/>
    <w:rsid w:val="00264B68"/>
    <w:rsid w:val="002814A7"/>
    <w:rsid w:val="00293B66"/>
    <w:rsid w:val="002A606B"/>
    <w:rsid w:val="002C109C"/>
    <w:rsid w:val="002C30CC"/>
    <w:rsid w:val="002C48EC"/>
    <w:rsid w:val="002D01C6"/>
    <w:rsid w:val="002D6D94"/>
    <w:rsid w:val="003323E4"/>
    <w:rsid w:val="00363FB7"/>
    <w:rsid w:val="00364EFA"/>
    <w:rsid w:val="0038297E"/>
    <w:rsid w:val="00385654"/>
    <w:rsid w:val="003E6BD2"/>
    <w:rsid w:val="00407710"/>
    <w:rsid w:val="00412640"/>
    <w:rsid w:val="00413257"/>
    <w:rsid w:val="00416779"/>
    <w:rsid w:val="004213C4"/>
    <w:rsid w:val="00431CBB"/>
    <w:rsid w:val="00455208"/>
    <w:rsid w:val="004553D5"/>
    <w:rsid w:val="004703DD"/>
    <w:rsid w:val="0048102F"/>
    <w:rsid w:val="004931FF"/>
    <w:rsid w:val="004957EC"/>
    <w:rsid w:val="004A2F9B"/>
    <w:rsid w:val="004B1063"/>
    <w:rsid w:val="004B3FF9"/>
    <w:rsid w:val="004B6A8E"/>
    <w:rsid w:val="004C765D"/>
    <w:rsid w:val="004E5759"/>
    <w:rsid w:val="004F0E96"/>
    <w:rsid w:val="004F1704"/>
    <w:rsid w:val="004F1C60"/>
    <w:rsid w:val="004F2B2E"/>
    <w:rsid w:val="0050656C"/>
    <w:rsid w:val="00526E17"/>
    <w:rsid w:val="00545ABD"/>
    <w:rsid w:val="0055476C"/>
    <w:rsid w:val="00556A45"/>
    <w:rsid w:val="00560C46"/>
    <w:rsid w:val="0056528F"/>
    <w:rsid w:val="00565398"/>
    <w:rsid w:val="005778DC"/>
    <w:rsid w:val="00585753"/>
    <w:rsid w:val="00586651"/>
    <w:rsid w:val="005972A5"/>
    <w:rsid w:val="005A59E5"/>
    <w:rsid w:val="005C6ED3"/>
    <w:rsid w:val="005D3E07"/>
    <w:rsid w:val="005E05CA"/>
    <w:rsid w:val="005E6E64"/>
    <w:rsid w:val="005F218E"/>
    <w:rsid w:val="005F4606"/>
    <w:rsid w:val="005F6DC5"/>
    <w:rsid w:val="00605CB1"/>
    <w:rsid w:val="006128BE"/>
    <w:rsid w:val="00620CCF"/>
    <w:rsid w:val="00634DC7"/>
    <w:rsid w:val="00635BA2"/>
    <w:rsid w:val="00650B69"/>
    <w:rsid w:val="00655C7B"/>
    <w:rsid w:val="0065781D"/>
    <w:rsid w:val="0066308B"/>
    <w:rsid w:val="00665660"/>
    <w:rsid w:val="0067353D"/>
    <w:rsid w:val="00676B18"/>
    <w:rsid w:val="006A3F62"/>
    <w:rsid w:val="006A4934"/>
    <w:rsid w:val="006B29AE"/>
    <w:rsid w:val="006B7366"/>
    <w:rsid w:val="006C4C33"/>
    <w:rsid w:val="006C7E71"/>
    <w:rsid w:val="006E3EBC"/>
    <w:rsid w:val="006E4184"/>
    <w:rsid w:val="006F0962"/>
    <w:rsid w:val="006F17D7"/>
    <w:rsid w:val="006F4ABD"/>
    <w:rsid w:val="006F750F"/>
    <w:rsid w:val="00706389"/>
    <w:rsid w:val="0071520C"/>
    <w:rsid w:val="00717D25"/>
    <w:rsid w:val="0072311E"/>
    <w:rsid w:val="0073178A"/>
    <w:rsid w:val="0073210E"/>
    <w:rsid w:val="00733252"/>
    <w:rsid w:val="00744EF1"/>
    <w:rsid w:val="00750775"/>
    <w:rsid w:val="00750BA0"/>
    <w:rsid w:val="00751E42"/>
    <w:rsid w:val="00764C70"/>
    <w:rsid w:val="007665F3"/>
    <w:rsid w:val="00774EAC"/>
    <w:rsid w:val="00775B9A"/>
    <w:rsid w:val="007857FB"/>
    <w:rsid w:val="0078797C"/>
    <w:rsid w:val="00790CDD"/>
    <w:rsid w:val="007A1168"/>
    <w:rsid w:val="007A62AF"/>
    <w:rsid w:val="007B2467"/>
    <w:rsid w:val="007C0A78"/>
    <w:rsid w:val="007C1DA3"/>
    <w:rsid w:val="007C3590"/>
    <w:rsid w:val="007C5885"/>
    <w:rsid w:val="007C638D"/>
    <w:rsid w:val="007D2EE3"/>
    <w:rsid w:val="007F01F4"/>
    <w:rsid w:val="007F4250"/>
    <w:rsid w:val="007F55AF"/>
    <w:rsid w:val="007F5C59"/>
    <w:rsid w:val="007F7EAA"/>
    <w:rsid w:val="00802086"/>
    <w:rsid w:val="00842A43"/>
    <w:rsid w:val="00882571"/>
    <w:rsid w:val="00886366"/>
    <w:rsid w:val="008869D2"/>
    <w:rsid w:val="00890914"/>
    <w:rsid w:val="008A225D"/>
    <w:rsid w:val="008A4397"/>
    <w:rsid w:val="008A77A7"/>
    <w:rsid w:val="008B06C3"/>
    <w:rsid w:val="008B2B54"/>
    <w:rsid w:val="008D2BCC"/>
    <w:rsid w:val="008D6E8A"/>
    <w:rsid w:val="008E3F94"/>
    <w:rsid w:val="008F4138"/>
    <w:rsid w:val="00912E3B"/>
    <w:rsid w:val="00925F4A"/>
    <w:rsid w:val="00930371"/>
    <w:rsid w:val="00931D30"/>
    <w:rsid w:val="0095176A"/>
    <w:rsid w:val="00953080"/>
    <w:rsid w:val="00957F95"/>
    <w:rsid w:val="00971AF5"/>
    <w:rsid w:val="00993867"/>
    <w:rsid w:val="009949DC"/>
    <w:rsid w:val="009A2595"/>
    <w:rsid w:val="009A7812"/>
    <w:rsid w:val="009B032A"/>
    <w:rsid w:val="009C7E51"/>
    <w:rsid w:val="009E1D6A"/>
    <w:rsid w:val="009E5711"/>
    <w:rsid w:val="009F61BC"/>
    <w:rsid w:val="00A00D93"/>
    <w:rsid w:val="00A01ADB"/>
    <w:rsid w:val="00A034A6"/>
    <w:rsid w:val="00A13BC9"/>
    <w:rsid w:val="00A14497"/>
    <w:rsid w:val="00A1688C"/>
    <w:rsid w:val="00A17370"/>
    <w:rsid w:val="00A24F4D"/>
    <w:rsid w:val="00A325EE"/>
    <w:rsid w:val="00A32765"/>
    <w:rsid w:val="00A6269A"/>
    <w:rsid w:val="00A671D0"/>
    <w:rsid w:val="00A7242D"/>
    <w:rsid w:val="00A92210"/>
    <w:rsid w:val="00A96050"/>
    <w:rsid w:val="00AA07D3"/>
    <w:rsid w:val="00AA54A2"/>
    <w:rsid w:val="00AB1BB9"/>
    <w:rsid w:val="00B02237"/>
    <w:rsid w:val="00B21AD6"/>
    <w:rsid w:val="00B242A5"/>
    <w:rsid w:val="00B30D6E"/>
    <w:rsid w:val="00B31C34"/>
    <w:rsid w:val="00B32124"/>
    <w:rsid w:val="00B338ED"/>
    <w:rsid w:val="00B64BFD"/>
    <w:rsid w:val="00B66D92"/>
    <w:rsid w:val="00B73150"/>
    <w:rsid w:val="00B81E0B"/>
    <w:rsid w:val="00B82B12"/>
    <w:rsid w:val="00B911B0"/>
    <w:rsid w:val="00B951FA"/>
    <w:rsid w:val="00B95E40"/>
    <w:rsid w:val="00BA11DF"/>
    <w:rsid w:val="00BA25B9"/>
    <w:rsid w:val="00BC68B5"/>
    <w:rsid w:val="00BE16DA"/>
    <w:rsid w:val="00BE172F"/>
    <w:rsid w:val="00BE36C5"/>
    <w:rsid w:val="00BE5945"/>
    <w:rsid w:val="00BF6F64"/>
    <w:rsid w:val="00BF7709"/>
    <w:rsid w:val="00C10215"/>
    <w:rsid w:val="00C21504"/>
    <w:rsid w:val="00C30C21"/>
    <w:rsid w:val="00C35FDF"/>
    <w:rsid w:val="00C37953"/>
    <w:rsid w:val="00C47813"/>
    <w:rsid w:val="00C570AF"/>
    <w:rsid w:val="00C61D75"/>
    <w:rsid w:val="00C6457D"/>
    <w:rsid w:val="00C64B82"/>
    <w:rsid w:val="00C7096A"/>
    <w:rsid w:val="00C71A68"/>
    <w:rsid w:val="00C71DD8"/>
    <w:rsid w:val="00C8224B"/>
    <w:rsid w:val="00C860BC"/>
    <w:rsid w:val="00C87504"/>
    <w:rsid w:val="00C977FF"/>
    <w:rsid w:val="00CA41AB"/>
    <w:rsid w:val="00CB22FC"/>
    <w:rsid w:val="00CB4099"/>
    <w:rsid w:val="00CD51A6"/>
    <w:rsid w:val="00CE7BA1"/>
    <w:rsid w:val="00D05CBB"/>
    <w:rsid w:val="00D16DB7"/>
    <w:rsid w:val="00D22785"/>
    <w:rsid w:val="00D528E0"/>
    <w:rsid w:val="00D54C75"/>
    <w:rsid w:val="00D56790"/>
    <w:rsid w:val="00D67BB6"/>
    <w:rsid w:val="00D77034"/>
    <w:rsid w:val="00D83AC2"/>
    <w:rsid w:val="00DA3007"/>
    <w:rsid w:val="00DA41A9"/>
    <w:rsid w:val="00DA673C"/>
    <w:rsid w:val="00DA6A3C"/>
    <w:rsid w:val="00DF00CF"/>
    <w:rsid w:val="00E013DC"/>
    <w:rsid w:val="00E11437"/>
    <w:rsid w:val="00E12B1D"/>
    <w:rsid w:val="00E15A31"/>
    <w:rsid w:val="00E22590"/>
    <w:rsid w:val="00E332D7"/>
    <w:rsid w:val="00E6087E"/>
    <w:rsid w:val="00E679CC"/>
    <w:rsid w:val="00E76279"/>
    <w:rsid w:val="00E9117F"/>
    <w:rsid w:val="00EA7F81"/>
    <w:rsid w:val="00EB3507"/>
    <w:rsid w:val="00EB4EC2"/>
    <w:rsid w:val="00EE4498"/>
    <w:rsid w:val="00F1180C"/>
    <w:rsid w:val="00F215EC"/>
    <w:rsid w:val="00F33093"/>
    <w:rsid w:val="00F416BC"/>
    <w:rsid w:val="00F74662"/>
    <w:rsid w:val="00F8338D"/>
    <w:rsid w:val="00F944E4"/>
    <w:rsid w:val="00FA3713"/>
    <w:rsid w:val="00FA37E2"/>
    <w:rsid w:val="00FA6C57"/>
    <w:rsid w:val="00FA6FEF"/>
    <w:rsid w:val="00FB5A73"/>
    <w:rsid w:val="00FB7572"/>
    <w:rsid w:val="00FD3A07"/>
    <w:rsid w:val="00FD7237"/>
    <w:rsid w:val="00FE0D7F"/>
    <w:rsid w:val="00FF248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0ECFB9EB"/>
  <w15:docId w15:val="{B2DBE58B-5DA0-417E-9268-77CDACE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8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7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E5711"/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aliases w:val="Numbered Standard,Bullet Styles para,lp1,TOC style,List Paragraph - RFP,Bullet OSM,Bullet,Bullet List,FooterText,Proposal Bullet List,TOC etc.,Numbered Para 1,Dot pt,No Spacing1,List Paragraph Char Char Char,Indicator Text,List Paragraph1"/>
    <w:basedOn w:val="Normal"/>
    <w:link w:val="ListParagraphChar"/>
    <w:uiPriority w:val="34"/>
    <w:qFormat/>
    <w:rsid w:val="00FA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6C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6C57"/>
    <w:rPr>
      <w:rFonts w:ascii="Consolas" w:eastAsia="Calibri" w:hAnsi="Consolas"/>
      <w:sz w:val="21"/>
      <w:szCs w:val="21"/>
    </w:rPr>
  </w:style>
  <w:style w:type="paragraph" w:customStyle="1" w:styleId="Outline0011">
    <w:name w:val="Outline001_1"/>
    <w:basedOn w:val="Normal"/>
    <w:uiPriority w:val="99"/>
    <w:rsid w:val="00FA6C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ascii="Wingdings" w:hAnsi="Wingdings" w:cs="Wingdings"/>
      <w:sz w:val="20"/>
      <w:szCs w:val="20"/>
    </w:rPr>
  </w:style>
  <w:style w:type="character" w:styleId="Emphasis">
    <w:name w:val="Emphasis"/>
    <w:uiPriority w:val="20"/>
    <w:qFormat/>
    <w:rsid w:val="00C30C21"/>
    <w:rPr>
      <w:i/>
      <w:iCs/>
    </w:rPr>
  </w:style>
  <w:style w:type="character" w:customStyle="1" w:styleId="HeaderChar">
    <w:name w:val="Header Char"/>
    <w:link w:val="Header"/>
    <w:uiPriority w:val="99"/>
    <w:rsid w:val="00A144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4497"/>
    <w:rPr>
      <w:sz w:val="24"/>
      <w:szCs w:val="24"/>
    </w:rPr>
  </w:style>
  <w:style w:type="table" w:styleId="TableGrid">
    <w:name w:val="Table Grid"/>
    <w:basedOn w:val="TableNormal"/>
    <w:uiPriority w:val="39"/>
    <w:rsid w:val="00A144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736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55208"/>
  </w:style>
  <w:style w:type="paragraph" w:styleId="BodyText">
    <w:name w:val="Body Text"/>
    <w:basedOn w:val="Normal"/>
    <w:link w:val="BodyTextChar"/>
    <w:uiPriority w:val="1"/>
    <w:unhideWhenUsed/>
    <w:qFormat/>
    <w:rsid w:val="00A671D0"/>
    <w:pPr>
      <w:widowControl w:val="0"/>
      <w:spacing w:before="120" w:after="12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671D0"/>
    <w:rPr>
      <w:rFonts w:ascii="Arial" w:eastAsia="Arial" w:hAnsi="Arial" w:cstheme="minorBidi"/>
      <w:sz w:val="22"/>
      <w:szCs w:val="22"/>
    </w:rPr>
  </w:style>
  <w:style w:type="character" w:styleId="CommentReference">
    <w:name w:val="annotation reference"/>
    <w:basedOn w:val="DefaultParagraphFont"/>
    <w:rsid w:val="00931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D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565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F833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338D"/>
  </w:style>
  <w:style w:type="character" w:styleId="FootnoteReference">
    <w:name w:val="footnote reference"/>
    <w:basedOn w:val="DefaultParagraphFont"/>
    <w:rsid w:val="00F8338D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545A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5A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45A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67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Numbered Standard Char,Bullet Styles para Char,lp1 Char,TOC style Char,List Paragraph - RFP Char,Bullet OSM Char,Bullet Char,Bullet List Char,FooterText Char,Proposal Bullet List Char,TOC etc. Char,Numbered Para 1 Char,Dot pt Char"/>
    <w:link w:val="ListParagraph"/>
    <w:uiPriority w:val="34"/>
    <w:qFormat/>
    <w:locked/>
    <w:rsid w:val="004213C4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B2467"/>
    <w:rPr>
      <w:sz w:val="24"/>
      <w:szCs w:val="24"/>
    </w:rPr>
  </w:style>
  <w:style w:type="character" w:styleId="FollowedHyperlink">
    <w:name w:val="FollowedHyperlink"/>
    <w:basedOn w:val="DefaultParagraphFont"/>
    <w:rsid w:val="007C35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33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oleg.gov/Legislation/2021/SF0079" TargetMode="External"/><Relationship Id="rId13" Type="http://schemas.openxmlformats.org/officeDocument/2006/relationships/hyperlink" Target="https://wyoleg.gov/statutes/compress/title33.pdf" TargetMode="External"/><Relationship Id="rId18" Type="http://schemas.openxmlformats.org/officeDocument/2006/relationships/hyperlink" Target="https://www.asha.org/practice/reimbursement/medicaid/school-based_service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health.wyo.gov/healthcarefin/medicaid/school-based-servi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yoleg.gov/statutes/compress/title33.pdf" TargetMode="External"/><Relationship Id="rId17" Type="http://schemas.openxmlformats.org/officeDocument/2006/relationships/hyperlink" Target="https://www.asha.org/practice/reimbursement/medicaid/medicaid-toolkit-school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asha.org/practice/reimbursement/coding/slpcpt/" TargetMode="External"/><Relationship Id="rId20" Type="http://schemas.openxmlformats.org/officeDocument/2006/relationships/hyperlink" Target="mailto:justin.browning1@wyo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yoleg.gov/statutes/compress/title33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sha.org/siteassets/uploadedfiles/icd-10-codes-slp.pd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wyoleg.gov/statutes/compress/title33.pdf" TargetMode="External"/><Relationship Id="rId19" Type="http://schemas.openxmlformats.org/officeDocument/2006/relationships/hyperlink" Target="mailto:wdh-schoolbasedservices@wy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yomingmedicaid.com/portal/sites/default/files/inline-files/Manuals_and_Bulletins/School_Based_Services_Manual_12_30.pdf" TargetMode="External"/><Relationship Id="rId14" Type="http://schemas.openxmlformats.org/officeDocument/2006/relationships/hyperlink" Target="https://www.asha.org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2196-624E-4529-9F5B-73895810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2006</vt:lpstr>
    </vt:vector>
  </TitlesOfParts>
  <Company>WDH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2006</dc:title>
  <dc:subject/>
  <dc:creator>Barnhart Communications</dc:creator>
  <cp:keywords/>
  <dc:description/>
  <cp:lastModifiedBy>Jillian Mongetta</cp:lastModifiedBy>
  <cp:revision>8</cp:revision>
  <cp:lastPrinted>2020-09-25T22:17:00Z</cp:lastPrinted>
  <dcterms:created xsi:type="dcterms:W3CDTF">2023-01-27T16:39:00Z</dcterms:created>
  <dcterms:modified xsi:type="dcterms:W3CDTF">2023-02-01T21:31:00Z</dcterms:modified>
</cp:coreProperties>
</file>