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1FA90" w14:textId="77777777" w:rsidR="00077144" w:rsidRDefault="00314EC0" w:rsidP="00CB4099">
      <w:pPr>
        <w:spacing w:before="120" w:after="120"/>
        <w:jc w:val="center"/>
        <w:rPr>
          <w:rFonts w:ascii="Arial" w:hAnsi="Arial" w:cs="Arial"/>
          <w:b/>
          <w:bCs/>
          <w:color w:val="000000"/>
          <w:sz w:val="32"/>
          <w:szCs w:val="32"/>
        </w:rPr>
      </w:pPr>
      <w:r w:rsidRPr="00134A0B">
        <w:rPr>
          <w:rFonts w:ascii="Arial" w:hAnsi="Arial" w:cs="Arial"/>
          <w:b/>
          <w:bCs/>
          <w:color w:val="000000"/>
          <w:sz w:val="32"/>
          <w:szCs w:val="32"/>
        </w:rPr>
        <w:t xml:space="preserve">Medical Necessity in </w:t>
      </w:r>
      <w:r w:rsidR="00077144">
        <w:rPr>
          <w:rFonts w:ascii="Arial" w:hAnsi="Arial" w:cs="Arial"/>
          <w:b/>
          <w:bCs/>
          <w:color w:val="000000"/>
          <w:sz w:val="32"/>
          <w:szCs w:val="32"/>
        </w:rPr>
        <w:t xml:space="preserve">the </w:t>
      </w:r>
      <w:r w:rsidRPr="00134A0B">
        <w:rPr>
          <w:rFonts w:ascii="Arial" w:hAnsi="Arial" w:cs="Arial"/>
          <w:b/>
          <w:bCs/>
          <w:color w:val="000000"/>
          <w:sz w:val="32"/>
          <w:szCs w:val="32"/>
        </w:rPr>
        <w:t xml:space="preserve">Wyoming School-Based </w:t>
      </w:r>
    </w:p>
    <w:p w14:paraId="31F2237F" w14:textId="10F532FE" w:rsidR="00CB4099" w:rsidRPr="00134A0B" w:rsidRDefault="00314EC0" w:rsidP="00CB4099">
      <w:pPr>
        <w:spacing w:before="120" w:after="120"/>
        <w:jc w:val="center"/>
        <w:rPr>
          <w:rFonts w:ascii="Arial" w:hAnsi="Arial" w:cs="Arial"/>
          <w:b/>
          <w:bCs/>
          <w:color w:val="000000"/>
          <w:sz w:val="32"/>
          <w:szCs w:val="32"/>
        </w:rPr>
      </w:pPr>
      <w:r w:rsidRPr="00134A0B">
        <w:rPr>
          <w:rFonts w:ascii="Arial" w:hAnsi="Arial" w:cs="Arial"/>
          <w:b/>
          <w:bCs/>
          <w:color w:val="000000"/>
          <w:sz w:val="32"/>
          <w:szCs w:val="32"/>
        </w:rPr>
        <w:t>Services</w:t>
      </w:r>
      <w:r w:rsidR="00077144">
        <w:rPr>
          <w:rFonts w:ascii="Arial" w:hAnsi="Arial" w:cs="Arial"/>
          <w:b/>
          <w:bCs/>
          <w:color w:val="000000"/>
          <w:sz w:val="32"/>
          <w:szCs w:val="32"/>
        </w:rPr>
        <w:t xml:space="preserve"> Program </w:t>
      </w:r>
    </w:p>
    <w:p w14:paraId="49667D63" w14:textId="77777777" w:rsidR="00CB4099" w:rsidRPr="00CE28BB" w:rsidRDefault="00CB4099" w:rsidP="00385654">
      <w:pPr>
        <w:spacing w:before="120" w:after="120"/>
        <w:rPr>
          <w:rFonts w:ascii="Arial" w:hAnsi="Arial" w:cs="Arial"/>
          <w:b/>
          <w:bCs/>
          <w:color w:val="000000"/>
        </w:rPr>
      </w:pPr>
    </w:p>
    <w:p w14:paraId="6DDF82BC" w14:textId="61463B4B" w:rsidR="004553D5" w:rsidRPr="00CE28BB" w:rsidRDefault="003C1CE4" w:rsidP="00385654">
      <w:pPr>
        <w:spacing w:before="120" w:after="120"/>
        <w:rPr>
          <w:rFonts w:ascii="Arial" w:hAnsi="Arial" w:cs="Arial"/>
          <w:b/>
          <w:bCs/>
          <w:color w:val="000000"/>
        </w:rPr>
      </w:pPr>
      <w:r w:rsidRPr="00CE28BB">
        <w:rPr>
          <w:rFonts w:ascii="Arial" w:hAnsi="Arial" w:cs="Arial"/>
          <w:b/>
          <w:bCs/>
          <w:color w:val="000000"/>
        </w:rPr>
        <w:t>OVERVIEW</w:t>
      </w:r>
      <w:r w:rsidR="004553D5" w:rsidRPr="00CE28BB">
        <w:rPr>
          <w:rFonts w:ascii="Arial" w:hAnsi="Arial" w:cs="Arial"/>
          <w:b/>
          <w:bCs/>
          <w:color w:val="000000"/>
        </w:rPr>
        <w:t xml:space="preserve"> </w:t>
      </w:r>
    </w:p>
    <w:p w14:paraId="4FA65C8B" w14:textId="731581C8" w:rsidR="00A17F9B" w:rsidRPr="00CE28BB" w:rsidRDefault="004553D5" w:rsidP="00385654">
      <w:pPr>
        <w:spacing w:before="120" w:after="120"/>
        <w:rPr>
          <w:rFonts w:ascii="Arial" w:hAnsi="Arial" w:cs="Arial"/>
          <w:color w:val="000000"/>
        </w:rPr>
      </w:pPr>
      <w:r w:rsidRPr="00CE28BB">
        <w:rPr>
          <w:rFonts w:ascii="Arial" w:hAnsi="Arial" w:cs="Arial"/>
          <w:color w:val="000000"/>
        </w:rPr>
        <w:t xml:space="preserve">The Wyoming School-Based Services </w:t>
      </w:r>
      <w:r w:rsidR="00CB4099" w:rsidRPr="00CE28BB">
        <w:rPr>
          <w:rFonts w:ascii="Arial" w:hAnsi="Arial" w:cs="Arial"/>
          <w:color w:val="000000"/>
        </w:rPr>
        <w:t>(SBS) P</w:t>
      </w:r>
      <w:r w:rsidRPr="00CE28BB">
        <w:rPr>
          <w:rFonts w:ascii="Arial" w:hAnsi="Arial" w:cs="Arial"/>
          <w:color w:val="000000"/>
        </w:rPr>
        <w:t xml:space="preserve">rogram was </w:t>
      </w:r>
      <w:r w:rsidR="005D3E07" w:rsidRPr="00CE28BB">
        <w:rPr>
          <w:rFonts w:ascii="Arial" w:hAnsi="Arial" w:cs="Arial"/>
          <w:color w:val="000000"/>
        </w:rPr>
        <w:t xml:space="preserve">authorized through the </w:t>
      </w:r>
      <w:hyperlink r:id="rId8" w:history="1">
        <w:r w:rsidR="005D3E07" w:rsidRPr="00CE28BB">
          <w:rPr>
            <w:rStyle w:val="Hyperlink"/>
            <w:rFonts w:ascii="Arial" w:hAnsi="Arial" w:cs="Arial"/>
          </w:rPr>
          <w:t>School-Based Services Act (SF0079).</w:t>
        </w:r>
      </w:hyperlink>
      <w:r w:rsidR="005D3E07" w:rsidRPr="00CE28BB">
        <w:rPr>
          <w:rFonts w:ascii="Arial" w:hAnsi="Arial" w:cs="Arial"/>
          <w:color w:val="000000"/>
        </w:rPr>
        <w:t xml:space="preserve"> </w:t>
      </w:r>
      <w:r w:rsidRPr="00CE28BB">
        <w:rPr>
          <w:rFonts w:ascii="Arial" w:hAnsi="Arial" w:cs="Arial"/>
          <w:color w:val="000000"/>
        </w:rPr>
        <w:t xml:space="preserve">This program authorizes Local Education Agencies (LEAs) to </w:t>
      </w:r>
      <w:r w:rsidR="000279F8">
        <w:rPr>
          <w:rFonts w:ascii="Arial" w:hAnsi="Arial" w:cs="Arial"/>
          <w:color w:val="000000"/>
        </w:rPr>
        <w:t>receive</w:t>
      </w:r>
      <w:r w:rsidRPr="00CE28BB">
        <w:rPr>
          <w:rFonts w:ascii="Arial" w:hAnsi="Arial" w:cs="Arial"/>
          <w:color w:val="000000"/>
        </w:rPr>
        <w:t xml:space="preserve"> reimburse</w:t>
      </w:r>
      <w:r w:rsidR="000279F8">
        <w:rPr>
          <w:rFonts w:ascii="Arial" w:hAnsi="Arial" w:cs="Arial"/>
          <w:color w:val="000000"/>
        </w:rPr>
        <w:t>ment</w:t>
      </w:r>
      <w:r w:rsidRPr="00CE28BB">
        <w:rPr>
          <w:rFonts w:ascii="Arial" w:hAnsi="Arial" w:cs="Arial"/>
          <w:color w:val="000000"/>
        </w:rPr>
        <w:t xml:space="preserve"> for health-related services provided by qualified practitioners to Medicaid </w:t>
      </w:r>
      <w:r w:rsidR="00CB22FC" w:rsidRPr="00CE28BB">
        <w:rPr>
          <w:rFonts w:ascii="Arial" w:hAnsi="Arial" w:cs="Arial"/>
          <w:color w:val="000000"/>
        </w:rPr>
        <w:t>e</w:t>
      </w:r>
      <w:r w:rsidRPr="00CE28BB">
        <w:rPr>
          <w:rFonts w:ascii="Arial" w:hAnsi="Arial" w:cs="Arial"/>
          <w:color w:val="000000"/>
        </w:rPr>
        <w:t xml:space="preserve">ligible students with an Individualized Education Plan </w:t>
      </w:r>
      <w:r w:rsidR="00CB4099" w:rsidRPr="00CE28BB">
        <w:rPr>
          <w:rFonts w:ascii="Arial" w:hAnsi="Arial" w:cs="Arial"/>
          <w:color w:val="000000"/>
        </w:rPr>
        <w:t xml:space="preserve">(IEP) </w:t>
      </w:r>
      <w:r w:rsidRPr="00CE28BB">
        <w:rPr>
          <w:rFonts w:ascii="Arial" w:hAnsi="Arial" w:cs="Arial"/>
          <w:color w:val="000000"/>
        </w:rPr>
        <w:t>or Individualized Family Service Plan (IFSP). Eligible services for reimbursement</w:t>
      </w:r>
      <w:r w:rsidR="00314EC0" w:rsidRPr="00CE28BB">
        <w:rPr>
          <w:rFonts w:ascii="Arial" w:hAnsi="Arial" w:cs="Arial"/>
          <w:color w:val="000000"/>
        </w:rPr>
        <w:t xml:space="preserve"> must be medically necessary and</w:t>
      </w:r>
      <w:r w:rsidR="0023136E">
        <w:rPr>
          <w:rFonts w:ascii="Arial" w:hAnsi="Arial" w:cs="Arial"/>
          <w:color w:val="000000"/>
        </w:rPr>
        <w:t xml:space="preserve"> documented</w:t>
      </w:r>
      <w:r w:rsidR="00314EC0" w:rsidRPr="00CE28BB">
        <w:rPr>
          <w:rFonts w:ascii="Arial" w:hAnsi="Arial" w:cs="Arial"/>
          <w:color w:val="000000"/>
        </w:rPr>
        <w:t xml:space="preserve"> in the student’s </w:t>
      </w:r>
      <w:r w:rsidR="00F24E4E" w:rsidRPr="00CE28BB">
        <w:rPr>
          <w:rFonts w:ascii="Arial" w:hAnsi="Arial" w:cs="Arial"/>
          <w:color w:val="000000"/>
        </w:rPr>
        <w:t>IEP or IFSP</w:t>
      </w:r>
      <w:r w:rsidR="00314EC0" w:rsidRPr="00CE28BB">
        <w:rPr>
          <w:rFonts w:ascii="Arial" w:hAnsi="Arial" w:cs="Arial"/>
          <w:color w:val="000000"/>
        </w:rPr>
        <w:t xml:space="preserve">. </w:t>
      </w:r>
      <w:r w:rsidR="00AE4572" w:rsidRPr="00AE4572">
        <w:rPr>
          <w:rFonts w:ascii="Arial" w:hAnsi="Arial" w:cs="Arial"/>
          <w:color w:val="000000"/>
        </w:rPr>
        <w:t>Services in the IEP/IFSP are not automatically considered medically necessary by Medicaid, and the IEP/IFSP itself may not be considered sufficient to establish medical necessity for the purposes of Medicaid reimbursement. </w:t>
      </w:r>
      <w:r w:rsidR="000279F8">
        <w:rPr>
          <w:rFonts w:ascii="Arial" w:hAnsi="Arial" w:cs="Arial"/>
          <w:color w:val="000000"/>
        </w:rPr>
        <w:t xml:space="preserve">LEAs are responsible to ensure that all claims submitted for Medicaid reimbursement are medically necessary. </w:t>
      </w:r>
    </w:p>
    <w:p w14:paraId="742711CE" w14:textId="77777777" w:rsidR="003C1CE4" w:rsidRPr="00CE28BB" w:rsidRDefault="003C1CE4" w:rsidP="003C1CE4">
      <w:pPr>
        <w:spacing w:before="120" w:after="120"/>
        <w:rPr>
          <w:rFonts w:ascii="Arial" w:hAnsi="Arial" w:cs="Arial"/>
          <w:b/>
          <w:bCs/>
          <w:color w:val="000000"/>
        </w:rPr>
      </w:pPr>
    </w:p>
    <w:p w14:paraId="6A0ED811" w14:textId="77777777" w:rsidR="00486D8C" w:rsidRPr="008413A1" w:rsidRDefault="00486D8C" w:rsidP="00486D8C">
      <w:pPr>
        <w:spacing w:before="120" w:after="120"/>
        <w:rPr>
          <w:rFonts w:ascii="Arial" w:hAnsi="Arial" w:cs="Arial"/>
          <w:color w:val="000000"/>
          <w:u w:val="single"/>
        </w:rPr>
      </w:pPr>
      <w:r w:rsidRPr="008413A1">
        <w:rPr>
          <w:rFonts w:ascii="Arial" w:hAnsi="Arial" w:cs="Arial"/>
          <w:color w:val="000000"/>
          <w:u w:val="single"/>
        </w:rPr>
        <w:t>Medically Necessary Services are:</w:t>
      </w:r>
    </w:p>
    <w:p w14:paraId="0C7FC1E9" w14:textId="59B20EAC" w:rsidR="00486D8C" w:rsidRPr="008413A1" w:rsidRDefault="009420F2" w:rsidP="00486D8C">
      <w:pPr>
        <w:pStyle w:val="ListParagraph"/>
        <w:numPr>
          <w:ilvl w:val="0"/>
          <w:numId w:val="26"/>
        </w:numPr>
        <w:spacing w:before="120" w:after="120"/>
        <w:rPr>
          <w:rFonts w:ascii="Arial" w:hAnsi="Arial" w:cs="Arial"/>
          <w:color w:val="000000"/>
          <w:sz w:val="24"/>
          <w:szCs w:val="24"/>
          <w:u w:val="single"/>
        </w:rPr>
      </w:pPr>
      <w:r>
        <w:rPr>
          <w:rFonts w:ascii="Arial" w:hAnsi="Arial" w:cs="Arial"/>
          <w:color w:val="000000"/>
          <w:sz w:val="24"/>
          <w:szCs w:val="24"/>
        </w:rPr>
        <w:t xml:space="preserve">Wyoming </w:t>
      </w:r>
      <w:r w:rsidR="00486D8C" w:rsidRPr="008413A1">
        <w:rPr>
          <w:rFonts w:ascii="Arial" w:hAnsi="Arial" w:cs="Arial"/>
          <w:color w:val="000000"/>
          <w:sz w:val="24"/>
          <w:szCs w:val="24"/>
        </w:rPr>
        <w:t xml:space="preserve">Medicaid </w:t>
      </w:r>
      <w:r>
        <w:rPr>
          <w:rFonts w:ascii="Arial" w:hAnsi="Arial" w:cs="Arial"/>
          <w:color w:val="000000"/>
          <w:sz w:val="24"/>
          <w:szCs w:val="24"/>
        </w:rPr>
        <w:t xml:space="preserve">SBS Program </w:t>
      </w:r>
      <w:r w:rsidR="00486D8C" w:rsidRPr="008413A1">
        <w:rPr>
          <w:rFonts w:ascii="Arial" w:hAnsi="Arial" w:cs="Arial"/>
          <w:color w:val="000000"/>
          <w:sz w:val="24"/>
          <w:szCs w:val="24"/>
        </w:rPr>
        <w:t xml:space="preserve">covered services, as defined in the Wyoming </w:t>
      </w:r>
      <w:r>
        <w:rPr>
          <w:rFonts w:ascii="Arial" w:hAnsi="Arial" w:cs="Arial"/>
          <w:color w:val="000000"/>
          <w:sz w:val="24"/>
          <w:szCs w:val="24"/>
        </w:rPr>
        <w:t xml:space="preserve">Medicaid </w:t>
      </w:r>
      <w:r w:rsidR="00486D8C" w:rsidRPr="008413A1">
        <w:rPr>
          <w:rFonts w:ascii="Arial" w:hAnsi="Arial" w:cs="Arial"/>
          <w:color w:val="000000"/>
          <w:sz w:val="24"/>
          <w:szCs w:val="24"/>
        </w:rPr>
        <w:t>State Plan;</w:t>
      </w:r>
    </w:p>
    <w:p w14:paraId="14F429D6" w14:textId="4617B180" w:rsidR="00486D8C" w:rsidRPr="008413A1" w:rsidRDefault="00486D8C" w:rsidP="00486D8C">
      <w:pPr>
        <w:pStyle w:val="ListParagraph"/>
        <w:numPr>
          <w:ilvl w:val="0"/>
          <w:numId w:val="26"/>
        </w:numPr>
        <w:spacing w:before="120" w:after="120"/>
        <w:rPr>
          <w:rFonts w:ascii="Arial" w:hAnsi="Arial" w:cs="Arial"/>
          <w:color w:val="000000"/>
          <w:sz w:val="24"/>
          <w:szCs w:val="24"/>
          <w:u w:val="single"/>
        </w:rPr>
      </w:pPr>
      <w:r w:rsidRPr="008413A1">
        <w:rPr>
          <w:rFonts w:ascii="Arial" w:hAnsi="Arial" w:cs="Arial"/>
          <w:color w:val="000000"/>
          <w:sz w:val="24"/>
          <w:szCs w:val="24"/>
        </w:rPr>
        <w:t xml:space="preserve">Provided within the regulations of the Wyoming </w:t>
      </w:r>
      <w:r w:rsidR="00821CF2">
        <w:rPr>
          <w:rFonts w:ascii="Arial" w:hAnsi="Arial" w:cs="Arial"/>
          <w:color w:val="000000"/>
          <w:sz w:val="24"/>
          <w:szCs w:val="24"/>
        </w:rPr>
        <w:t xml:space="preserve">Medicaid </w:t>
      </w:r>
      <w:r w:rsidRPr="008413A1">
        <w:rPr>
          <w:rFonts w:ascii="Arial" w:hAnsi="Arial" w:cs="Arial"/>
          <w:color w:val="000000"/>
          <w:sz w:val="24"/>
          <w:szCs w:val="24"/>
        </w:rPr>
        <w:t>State Plan;</w:t>
      </w:r>
    </w:p>
    <w:p w14:paraId="5B6A7581" w14:textId="1E2ACECD" w:rsidR="00486D8C" w:rsidRPr="008413A1" w:rsidRDefault="00486D8C" w:rsidP="00486D8C">
      <w:pPr>
        <w:pStyle w:val="ListParagraph"/>
        <w:numPr>
          <w:ilvl w:val="0"/>
          <w:numId w:val="26"/>
        </w:numPr>
        <w:spacing w:before="120" w:after="120"/>
        <w:rPr>
          <w:rFonts w:ascii="Arial" w:hAnsi="Arial" w:cs="Arial"/>
          <w:color w:val="000000"/>
          <w:sz w:val="24"/>
          <w:szCs w:val="24"/>
          <w:u w:val="single"/>
        </w:rPr>
      </w:pPr>
      <w:r w:rsidRPr="008413A1">
        <w:rPr>
          <w:rFonts w:ascii="Arial" w:hAnsi="Arial" w:cs="Arial"/>
          <w:color w:val="000000"/>
          <w:sz w:val="24"/>
          <w:szCs w:val="24"/>
        </w:rPr>
        <w:t>Provided in an appropriate setting;</w:t>
      </w:r>
    </w:p>
    <w:p w14:paraId="4A0BE708" w14:textId="2E8899F5" w:rsidR="00486D8C" w:rsidRPr="008413A1" w:rsidRDefault="00486D8C" w:rsidP="00486D8C">
      <w:pPr>
        <w:pStyle w:val="ListParagraph"/>
        <w:numPr>
          <w:ilvl w:val="0"/>
          <w:numId w:val="26"/>
        </w:numPr>
        <w:spacing w:before="120" w:after="120"/>
        <w:rPr>
          <w:rFonts w:ascii="Arial" w:hAnsi="Arial" w:cs="Arial"/>
          <w:color w:val="000000"/>
          <w:sz w:val="24"/>
          <w:szCs w:val="24"/>
          <w:u w:val="single"/>
        </w:rPr>
      </w:pPr>
      <w:r w:rsidRPr="008413A1">
        <w:rPr>
          <w:rFonts w:ascii="Arial" w:hAnsi="Arial" w:cs="Arial"/>
          <w:color w:val="000000"/>
          <w:sz w:val="24"/>
          <w:szCs w:val="24"/>
        </w:rPr>
        <w:t xml:space="preserve">Performed by </w:t>
      </w:r>
      <w:r w:rsidR="00821CF2">
        <w:rPr>
          <w:rFonts w:ascii="Arial" w:hAnsi="Arial" w:cs="Arial"/>
          <w:color w:val="000000"/>
          <w:sz w:val="24"/>
          <w:szCs w:val="24"/>
        </w:rPr>
        <w:t xml:space="preserve">Medicaid </w:t>
      </w:r>
      <w:r w:rsidRPr="008413A1">
        <w:rPr>
          <w:rFonts w:ascii="Arial" w:hAnsi="Arial" w:cs="Arial"/>
          <w:color w:val="000000"/>
          <w:sz w:val="24"/>
          <w:szCs w:val="24"/>
        </w:rPr>
        <w:t>enrolled providers within their scope of licensure and/or certification;</w:t>
      </w:r>
    </w:p>
    <w:p w14:paraId="7DD73952" w14:textId="77777777" w:rsidR="00486D8C" w:rsidRPr="008413A1" w:rsidRDefault="00486D8C" w:rsidP="00486D8C">
      <w:pPr>
        <w:pStyle w:val="ListParagraph"/>
        <w:numPr>
          <w:ilvl w:val="0"/>
          <w:numId w:val="26"/>
        </w:numPr>
        <w:spacing w:before="120" w:after="120"/>
        <w:rPr>
          <w:rFonts w:ascii="Arial" w:hAnsi="Arial" w:cs="Arial"/>
          <w:color w:val="000000"/>
          <w:sz w:val="24"/>
          <w:szCs w:val="24"/>
          <w:u w:val="single"/>
        </w:rPr>
      </w:pPr>
      <w:r w:rsidRPr="008413A1">
        <w:rPr>
          <w:rFonts w:ascii="Arial" w:hAnsi="Arial" w:cs="Arial"/>
          <w:color w:val="000000"/>
          <w:sz w:val="24"/>
          <w:szCs w:val="24"/>
        </w:rPr>
        <w:t>Required for the diagnosis, prevention, and/or treatment of illness, disability, infirmity, or impairment and which are necessary to improve, restore, or maintain health and wellbeing; and</w:t>
      </w:r>
    </w:p>
    <w:p w14:paraId="5CB71B81" w14:textId="62B611D6" w:rsidR="00486D8C" w:rsidRPr="008413A1" w:rsidRDefault="00486D8C" w:rsidP="00486D8C">
      <w:pPr>
        <w:pStyle w:val="ListParagraph"/>
        <w:numPr>
          <w:ilvl w:val="0"/>
          <w:numId w:val="26"/>
        </w:numPr>
        <w:spacing w:before="120" w:after="120"/>
        <w:rPr>
          <w:rFonts w:ascii="Arial" w:hAnsi="Arial" w:cs="Arial"/>
          <w:color w:val="000000"/>
          <w:sz w:val="24"/>
          <w:szCs w:val="24"/>
          <w:u w:val="single"/>
        </w:rPr>
      </w:pPr>
      <w:r w:rsidRPr="008413A1">
        <w:rPr>
          <w:rFonts w:ascii="Arial" w:hAnsi="Arial" w:cs="Arial"/>
          <w:color w:val="000000"/>
          <w:sz w:val="24"/>
          <w:szCs w:val="24"/>
        </w:rPr>
        <w:t>Recognized as standard medical care, based on national standards for best practices and safe, effective, quality care.</w:t>
      </w:r>
    </w:p>
    <w:p w14:paraId="2D12EBDA" w14:textId="77777777" w:rsidR="00486D8C" w:rsidRDefault="00486D8C" w:rsidP="00486D8C">
      <w:pPr>
        <w:spacing w:before="120" w:after="120"/>
        <w:rPr>
          <w:rFonts w:ascii="Arial" w:hAnsi="Arial" w:cs="Arial"/>
          <w:b/>
          <w:bCs/>
          <w:color w:val="000000"/>
        </w:rPr>
      </w:pPr>
    </w:p>
    <w:p w14:paraId="3641E810" w14:textId="11E36C1C" w:rsidR="003C1CE4" w:rsidRPr="00CE28BB" w:rsidRDefault="003C1CE4" w:rsidP="003C1CE4">
      <w:pPr>
        <w:spacing w:before="120" w:after="120"/>
        <w:rPr>
          <w:rFonts w:ascii="Arial" w:hAnsi="Arial" w:cs="Arial"/>
          <w:b/>
          <w:bCs/>
          <w:color w:val="000000"/>
        </w:rPr>
      </w:pPr>
      <w:r w:rsidRPr="00CE28BB">
        <w:rPr>
          <w:rFonts w:ascii="Arial" w:hAnsi="Arial" w:cs="Arial"/>
          <w:b/>
          <w:bCs/>
          <w:color w:val="000000"/>
        </w:rPr>
        <w:t>WHAT IS MEDICAL NECESSITY</w:t>
      </w:r>
      <w:r w:rsidR="0023136E">
        <w:rPr>
          <w:rFonts w:ascii="Arial" w:hAnsi="Arial" w:cs="Arial"/>
          <w:b/>
          <w:bCs/>
          <w:color w:val="000000"/>
        </w:rPr>
        <w:t>?</w:t>
      </w:r>
      <w:r w:rsidRPr="00CE28BB">
        <w:rPr>
          <w:rFonts w:ascii="Arial" w:hAnsi="Arial" w:cs="Arial"/>
          <w:b/>
          <w:bCs/>
          <w:color w:val="000000"/>
        </w:rPr>
        <w:t xml:space="preserve"> </w:t>
      </w:r>
    </w:p>
    <w:p w14:paraId="53FE5A37" w14:textId="0FD5E3B7" w:rsidR="003C1CE4" w:rsidRPr="00CE28BB" w:rsidRDefault="0023136E" w:rsidP="003C1CE4">
      <w:pPr>
        <w:spacing w:before="120" w:after="120"/>
        <w:rPr>
          <w:rFonts w:ascii="Arial" w:hAnsi="Arial" w:cs="Arial"/>
        </w:rPr>
      </w:pPr>
      <w:r>
        <w:rPr>
          <w:rFonts w:ascii="Arial" w:hAnsi="Arial" w:cs="Arial"/>
          <w:color w:val="000000"/>
        </w:rPr>
        <w:t>In order to receive Medicaid reimbursement, LEAs</w:t>
      </w:r>
      <w:r w:rsidR="003C1CE4" w:rsidRPr="00CE28BB">
        <w:rPr>
          <w:rFonts w:ascii="Arial" w:hAnsi="Arial" w:cs="Arial"/>
          <w:color w:val="000000"/>
        </w:rPr>
        <w:t xml:space="preserve"> may only </w:t>
      </w:r>
      <w:r>
        <w:rPr>
          <w:rFonts w:ascii="Arial" w:hAnsi="Arial" w:cs="Arial"/>
          <w:color w:val="000000"/>
        </w:rPr>
        <w:t>bill for</w:t>
      </w:r>
      <w:r w:rsidR="003C1CE4" w:rsidRPr="00CE28BB">
        <w:rPr>
          <w:rFonts w:ascii="Arial" w:hAnsi="Arial" w:cs="Arial"/>
          <w:color w:val="000000"/>
        </w:rPr>
        <w:t xml:space="preserve"> medically necessary services and must ensure that all services meet </w:t>
      </w:r>
      <w:r>
        <w:rPr>
          <w:rFonts w:ascii="Arial" w:hAnsi="Arial" w:cs="Arial"/>
          <w:color w:val="000000"/>
        </w:rPr>
        <w:t>all state and federal</w:t>
      </w:r>
      <w:r w:rsidR="003C1CE4" w:rsidRPr="00CE28BB">
        <w:rPr>
          <w:rFonts w:ascii="Arial" w:hAnsi="Arial" w:cs="Arial"/>
          <w:color w:val="000000"/>
        </w:rPr>
        <w:t xml:space="preserve"> requirements of demonstrating medical necessity.</w:t>
      </w:r>
      <w:r w:rsidR="00134A0B">
        <w:rPr>
          <w:rFonts w:ascii="Arial" w:hAnsi="Arial" w:cs="Arial"/>
        </w:rPr>
        <w:t xml:space="preserve"> </w:t>
      </w:r>
      <w:r w:rsidR="004F1FEE" w:rsidRPr="004F1FEE">
        <w:rPr>
          <w:rFonts w:ascii="Arial" w:hAnsi="Arial" w:cs="Arial"/>
        </w:rPr>
        <w:t>Medical necessity refers to the appropriateness of medical intervention and treatment for certain medical conditions</w:t>
      </w:r>
      <w:r w:rsidR="004F1FEE">
        <w:rPr>
          <w:rFonts w:ascii="Arial" w:hAnsi="Arial" w:cs="Arial"/>
        </w:rPr>
        <w:t xml:space="preserve">. </w:t>
      </w:r>
      <w:r w:rsidR="00B51226">
        <w:rPr>
          <w:rFonts w:ascii="Arial" w:hAnsi="Arial" w:cs="Arial"/>
        </w:rPr>
        <w:t>T</w:t>
      </w:r>
      <w:r w:rsidR="003C1CE4" w:rsidRPr="00CE28BB">
        <w:rPr>
          <w:rFonts w:ascii="Arial" w:hAnsi="Arial" w:cs="Arial"/>
        </w:rPr>
        <w:t xml:space="preserve">he services provided </w:t>
      </w:r>
      <w:r w:rsidR="003C1CE4" w:rsidRPr="00CE28BB">
        <w:rPr>
          <w:rFonts w:ascii="Arial" w:hAnsi="Arial" w:cs="Arial"/>
        </w:rPr>
        <w:lastRenderedPageBreak/>
        <w:t xml:space="preserve">must be medically necessary and must be necessary for the treatment of the recipient’s specifically identified medical condition and meet the needs specified in the student’s IEP or IFSP. </w:t>
      </w:r>
    </w:p>
    <w:p w14:paraId="6B753F17" w14:textId="4A921EBD" w:rsidR="00C43ECE" w:rsidRDefault="00973A3A" w:rsidP="00C43ECE">
      <w:pPr>
        <w:pStyle w:val="BodyText"/>
        <w:tabs>
          <w:tab w:val="left" w:pos="821"/>
        </w:tabs>
        <w:ind w:right="461"/>
        <w:rPr>
          <w:rFonts w:cs="Arial"/>
          <w:sz w:val="24"/>
          <w:szCs w:val="24"/>
        </w:rPr>
      </w:pPr>
      <w:r>
        <w:rPr>
          <w:rFonts w:cs="Arial"/>
          <w:sz w:val="24"/>
          <w:szCs w:val="24"/>
        </w:rPr>
        <w:t xml:space="preserve">All covered services must meet medical necessity standards under </w:t>
      </w:r>
      <w:hyperlink r:id="rId9" w:history="1">
        <w:r w:rsidR="00BB20E3" w:rsidRPr="00BB20E3">
          <w:rPr>
            <w:rStyle w:val="Hyperlink"/>
            <w:rFonts w:cs="Arial"/>
            <w:sz w:val="24"/>
            <w:szCs w:val="24"/>
          </w:rPr>
          <w:t>Wyoming Statutes 26-40-102(a</w:t>
        </w:r>
        <w:proofErr w:type="gramStart"/>
        <w:r w:rsidR="00BB20E3" w:rsidRPr="00BB20E3">
          <w:rPr>
            <w:rStyle w:val="Hyperlink"/>
            <w:rFonts w:cs="Arial"/>
            <w:sz w:val="24"/>
            <w:szCs w:val="24"/>
          </w:rPr>
          <w:t>)(</w:t>
        </w:r>
        <w:proofErr w:type="gramEnd"/>
        <w:r w:rsidR="00BB20E3" w:rsidRPr="00BB20E3">
          <w:rPr>
            <w:rStyle w:val="Hyperlink"/>
            <w:rFonts w:cs="Arial"/>
            <w:sz w:val="24"/>
            <w:szCs w:val="24"/>
          </w:rPr>
          <w:t>iii)</w:t>
        </w:r>
      </w:hyperlink>
      <w:r w:rsidR="00C43ECE" w:rsidRPr="00CE28BB">
        <w:rPr>
          <w:rFonts w:cs="Arial"/>
          <w:sz w:val="24"/>
          <w:szCs w:val="24"/>
        </w:rPr>
        <w:t xml:space="preserve">: </w:t>
      </w:r>
    </w:p>
    <w:p w14:paraId="0C1F6428" w14:textId="113AF403" w:rsidR="00BB20E3" w:rsidRDefault="00BB20E3" w:rsidP="00C43ECE">
      <w:pPr>
        <w:pStyle w:val="BodyText"/>
        <w:tabs>
          <w:tab w:val="left" w:pos="821"/>
        </w:tabs>
        <w:ind w:right="461"/>
        <w:rPr>
          <w:rFonts w:cs="Arial"/>
          <w:sz w:val="24"/>
          <w:szCs w:val="24"/>
        </w:rPr>
      </w:pPr>
      <w:r>
        <w:rPr>
          <w:rFonts w:cs="Arial"/>
          <w:sz w:val="24"/>
          <w:szCs w:val="24"/>
        </w:rPr>
        <w:t>“</w:t>
      </w:r>
      <w:r w:rsidRPr="00BB20E3">
        <w:rPr>
          <w:rFonts w:cs="Arial"/>
          <w:sz w:val="24"/>
          <w:szCs w:val="24"/>
        </w:rPr>
        <w:t>Medical necessity, means:</w:t>
      </w:r>
    </w:p>
    <w:p w14:paraId="517A78B8" w14:textId="57D829DF" w:rsidR="00BB20E3" w:rsidRDefault="00BB20E3" w:rsidP="00BB20E3">
      <w:pPr>
        <w:pStyle w:val="BodyText"/>
        <w:numPr>
          <w:ilvl w:val="0"/>
          <w:numId w:val="21"/>
        </w:numPr>
        <w:tabs>
          <w:tab w:val="left" w:pos="821"/>
        </w:tabs>
        <w:ind w:right="461"/>
        <w:rPr>
          <w:rFonts w:cs="Arial"/>
          <w:sz w:val="24"/>
          <w:szCs w:val="24"/>
        </w:rPr>
      </w:pPr>
      <w:r w:rsidRPr="00BB20E3">
        <w:rPr>
          <w:rFonts w:cs="Arial"/>
          <w:sz w:val="24"/>
          <w:szCs w:val="24"/>
        </w:rPr>
        <w:t>A medical service, procedure or supply provided for the purpose of preventing, diagnosing or treating an illness, injury, disease or symptom and is a service, procedure or supply that:</w:t>
      </w:r>
    </w:p>
    <w:p w14:paraId="1ACB3BB0" w14:textId="23747A34" w:rsidR="00EF7C0D" w:rsidRDefault="00EF7C0D" w:rsidP="00862699">
      <w:pPr>
        <w:pStyle w:val="BodyText"/>
        <w:numPr>
          <w:ilvl w:val="0"/>
          <w:numId w:val="24"/>
        </w:numPr>
        <w:tabs>
          <w:tab w:val="left" w:pos="821"/>
        </w:tabs>
        <w:ind w:right="461"/>
        <w:rPr>
          <w:rFonts w:cs="Arial"/>
          <w:sz w:val="24"/>
          <w:szCs w:val="24"/>
        </w:rPr>
      </w:pPr>
      <w:r w:rsidRPr="00EF7C0D">
        <w:rPr>
          <w:rFonts w:cs="Arial"/>
          <w:sz w:val="24"/>
          <w:szCs w:val="24"/>
        </w:rPr>
        <w:t>Is medically appropriate for the symptoms, diagnosis or treatment of the condition, illness, disease or injury;</w:t>
      </w:r>
    </w:p>
    <w:p w14:paraId="421E677A" w14:textId="0A1E822A" w:rsidR="00EF7C0D" w:rsidRDefault="00EF7C0D" w:rsidP="00EF7C0D">
      <w:pPr>
        <w:pStyle w:val="BodyText"/>
        <w:numPr>
          <w:ilvl w:val="0"/>
          <w:numId w:val="24"/>
        </w:numPr>
        <w:tabs>
          <w:tab w:val="left" w:pos="821"/>
        </w:tabs>
        <w:ind w:right="461"/>
        <w:rPr>
          <w:rFonts w:cs="Arial"/>
          <w:sz w:val="24"/>
          <w:szCs w:val="24"/>
        </w:rPr>
      </w:pPr>
      <w:r w:rsidRPr="00EF7C0D">
        <w:rPr>
          <w:rFonts w:cs="Arial"/>
          <w:sz w:val="24"/>
          <w:szCs w:val="24"/>
        </w:rPr>
        <w:t>Provides for the diagnosis, direct care and treatment of the patient's condition, illness, disease or injury;</w:t>
      </w:r>
    </w:p>
    <w:p w14:paraId="4F7434B0" w14:textId="015EA712" w:rsidR="00EF7C0D" w:rsidRDefault="00EF7C0D" w:rsidP="00EF7C0D">
      <w:pPr>
        <w:pStyle w:val="BodyText"/>
        <w:numPr>
          <w:ilvl w:val="0"/>
          <w:numId w:val="24"/>
        </w:numPr>
        <w:tabs>
          <w:tab w:val="left" w:pos="821"/>
        </w:tabs>
        <w:ind w:right="461"/>
        <w:rPr>
          <w:rFonts w:cs="Arial"/>
          <w:sz w:val="24"/>
          <w:szCs w:val="24"/>
        </w:rPr>
      </w:pPr>
      <w:r w:rsidRPr="00EF7C0D">
        <w:rPr>
          <w:rFonts w:cs="Arial"/>
          <w:sz w:val="24"/>
          <w:szCs w:val="24"/>
        </w:rPr>
        <w:t>Is in accordance with professional, evidence based medicine and recognized standards of good medical practice and care; and</w:t>
      </w:r>
    </w:p>
    <w:p w14:paraId="273C09C0" w14:textId="2DB91F72" w:rsidR="00EF7C0D" w:rsidRDefault="00EF7C0D" w:rsidP="00EF7C0D">
      <w:pPr>
        <w:pStyle w:val="BodyText"/>
        <w:numPr>
          <w:ilvl w:val="0"/>
          <w:numId w:val="24"/>
        </w:numPr>
        <w:tabs>
          <w:tab w:val="left" w:pos="821"/>
        </w:tabs>
        <w:ind w:right="461"/>
        <w:rPr>
          <w:rFonts w:cs="Arial"/>
          <w:sz w:val="24"/>
          <w:szCs w:val="24"/>
        </w:rPr>
      </w:pPr>
      <w:r w:rsidRPr="00EF7C0D">
        <w:rPr>
          <w:rFonts w:cs="Arial"/>
          <w:sz w:val="24"/>
          <w:szCs w:val="24"/>
        </w:rPr>
        <w:t>Is not primarily for the convenience of the patient, physician or other health care provider.</w:t>
      </w:r>
    </w:p>
    <w:p w14:paraId="31F81BED" w14:textId="0B111137" w:rsidR="00EF7C0D" w:rsidRDefault="00EF7C0D" w:rsidP="00EF7C0D">
      <w:pPr>
        <w:pStyle w:val="BodyText"/>
        <w:numPr>
          <w:ilvl w:val="0"/>
          <w:numId w:val="21"/>
        </w:numPr>
        <w:tabs>
          <w:tab w:val="left" w:pos="821"/>
        </w:tabs>
        <w:ind w:right="461"/>
        <w:rPr>
          <w:rFonts w:cs="Arial"/>
          <w:sz w:val="24"/>
          <w:szCs w:val="24"/>
        </w:rPr>
      </w:pPr>
      <w:r w:rsidRPr="00EF7C0D">
        <w:rPr>
          <w:rFonts w:cs="Arial"/>
          <w:sz w:val="24"/>
          <w:szCs w:val="24"/>
        </w:rPr>
        <w:t>A medical service, procedure or supply shall not be excluded from being a medical necessity under this section solely because the service, procedure or supply is not</w:t>
      </w:r>
      <w:r w:rsidRPr="00EF7C0D">
        <w:rPr>
          <w:rFonts w:ascii="Times New Roman" w:eastAsia="Times New Roman" w:hAnsi="Times New Roman" w:cs="Times New Roman"/>
          <w:sz w:val="24"/>
          <w:szCs w:val="24"/>
        </w:rPr>
        <w:t xml:space="preserve"> </w:t>
      </w:r>
      <w:r w:rsidRPr="00EF7C0D">
        <w:rPr>
          <w:rFonts w:cs="Arial"/>
          <w:sz w:val="24"/>
          <w:szCs w:val="24"/>
        </w:rPr>
        <w:t>in common use if the safety and effectiveness of the service, procedure or supply is supported by:</w:t>
      </w:r>
    </w:p>
    <w:p w14:paraId="28CE2E45" w14:textId="4017E461" w:rsidR="00EF7C0D" w:rsidRDefault="00EF7C0D" w:rsidP="00EF7C0D">
      <w:pPr>
        <w:pStyle w:val="BodyText"/>
        <w:numPr>
          <w:ilvl w:val="0"/>
          <w:numId w:val="25"/>
        </w:numPr>
        <w:tabs>
          <w:tab w:val="left" w:pos="821"/>
        </w:tabs>
        <w:ind w:left="1890" w:right="461"/>
        <w:rPr>
          <w:rFonts w:cs="Arial"/>
          <w:sz w:val="24"/>
          <w:szCs w:val="24"/>
        </w:rPr>
      </w:pPr>
      <w:r w:rsidRPr="00EF7C0D">
        <w:rPr>
          <w:rFonts w:cs="Arial"/>
          <w:sz w:val="24"/>
          <w:szCs w:val="24"/>
        </w:rPr>
        <w:t xml:space="preserve">Peer reviewed medical literature, including literature relating to therapies reviewed and approved by a qualified institutional review board, biomedical compendia and other medical literature that meet the criteria of the National Institutes of Health's Library of Medicine for indexing in Index </w:t>
      </w:r>
      <w:proofErr w:type="spellStart"/>
      <w:r w:rsidRPr="00EF7C0D">
        <w:rPr>
          <w:rFonts w:cs="Arial"/>
          <w:sz w:val="24"/>
          <w:szCs w:val="24"/>
        </w:rPr>
        <w:t>Medicus</w:t>
      </w:r>
      <w:proofErr w:type="spellEnd"/>
      <w:r w:rsidRPr="00EF7C0D">
        <w:rPr>
          <w:rFonts w:cs="Arial"/>
          <w:sz w:val="24"/>
          <w:szCs w:val="24"/>
        </w:rPr>
        <w:t xml:space="preserve"> (Medline) and Elsevier Science Ltd. for indexing in </w:t>
      </w:r>
      <w:proofErr w:type="spellStart"/>
      <w:r w:rsidRPr="00EF7C0D">
        <w:rPr>
          <w:rFonts w:cs="Arial"/>
          <w:sz w:val="24"/>
          <w:szCs w:val="24"/>
        </w:rPr>
        <w:t>Excerpta</w:t>
      </w:r>
      <w:proofErr w:type="spellEnd"/>
      <w:r w:rsidRPr="00EF7C0D">
        <w:rPr>
          <w:rFonts w:cs="Arial"/>
          <w:sz w:val="24"/>
          <w:szCs w:val="24"/>
        </w:rPr>
        <w:t xml:space="preserve"> </w:t>
      </w:r>
      <w:proofErr w:type="spellStart"/>
      <w:r w:rsidRPr="00EF7C0D">
        <w:rPr>
          <w:rFonts w:cs="Arial"/>
          <w:sz w:val="24"/>
          <w:szCs w:val="24"/>
        </w:rPr>
        <w:t>Medicus</w:t>
      </w:r>
      <w:proofErr w:type="spellEnd"/>
      <w:r w:rsidRPr="00EF7C0D">
        <w:rPr>
          <w:rFonts w:cs="Arial"/>
          <w:sz w:val="24"/>
          <w:szCs w:val="24"/>
        </w:rPr>
        <w:t xml:space="preserve"> (EMBASE); or</w:t>
      </w:r>
    </w:p>
    <w:p w14:paraId="58B2CDEA" w14:textId="799E480A" w:rsidR="00EF7C0D" w:rsidRPr="00862699" w:rsidRDefault="00EF7C0D" w:rsidP="00862699">
      <w:pPr>
        <w:pStyle w:val="BodyText"/>
        <w:numPr>
          <w:ilvl w:val="0"/>
          <w:numId w:val="25"/>
        </w:numPr>
        <w:tabs>
          <w:tab w:val="left" w:pos="821"/>
        </w:tabs>
        <w:ind w:left="1890" w:right="461"/>
        <w:rPr>
          <w:rFonts w:cs="Arial"/>
          <w:sz w:val="24"/>
          <w:szCs w:val="24"/>
        </w:rPr>
      </w:pPr>
      <w:r w:rsidRPr="00862699">
        <w:rPr>
          <w:rFonts w:cs="Arial"/>
          <w:sz w:val="24"/>
          <w:szCs w:val="24"/>
        </w:rPr>
        <w:t>Medical journals recognized by the Secretary of Health and Human Services under Section 1861(t</w:t>
      </w:r>
      <w:proofErr w:type="gramStart"/>
      <w:r w:rsidRPr="00862699">
        <w:rPr>
          <w:rFonts w:cs="Arial"/>
          <w:sz w:val="24"/>
          <w:szCs w:val="24"/>
        </w:rPr>
        <w:t>)(</w:t>
      </w:r>
      <w:proofErr w:type="gramEnd"/>
      <w:r w:rsidRPr="00862699">
        <w:rPr>
          <w:rFonts w:cs="Arial"/>
          <w:sz w:val="24"/>
          <w:szCs w:val="24"/>
        </w:rPr>
        <w:t>2) of the federal Social Security Act.”</w:t>
      </w:r>
    </w:p>
    <w:p w14:paraId="2A576453" w14:textId="2D5E0D43" w:rsidR="00BB20E3" w:rsidRDefault="00BB20E3" w:rsidP="00862699">
      <w:pPr>
        <w:pStyle w:val="BodyText"/>
        <w:tabs>
          <w:tab w:val="left" w:pos="821"/>
        </w:tabs>
        <w:ind w:left="2260" w:right="461"/>
        <w:rPr>
          <w:rFonts w:cs="Arial"/>
          <w:sz w:val="24"/>
          <w:szCs w:val="24"/>
        </w:rPr>
      </w:pPr>
    </w:p>
    <w:p w14:paraId="18B1404D" w14:textId="3C39177D" w:rsidR="0055408F" w:rsidRDefault="00314EC0" w:rsidP="00134A0B">
      <w:pPr>
        <w:rPr>
          <w:rFonts w:ascii="Arial" w:hAnsi="Arial" w:cs="Arial"/>
        </w:rPr>
      </w:pPr>
      <w:r w:rsidRPr="00CE28BB">
        <w:rPr>
          <w:rFonts w:ascii="Arial" w:hAnsi="Arial" w:cs="Arial"/>
        </w:rPr>
        <w:t xml:space="preserve">Federally, </w:t>
      </w:r>
      <w:r w:rsidR="008542B1">
        <w:rPr>
          <w:rFonts w:ascii="Arial" w:hAnsi="Arial" w:cs="Arial"/>
        </w:rPr>
        <w:t>m</w:t>
      </w:r>
      <w:r w:rsidRPr="00CE28BB">
        <w:rPr>
          <w:rFonts w:ascii="Arial" w:hAnsi="Arial" w:cs="Arial"/>
        </w:rPr>
        <w:t xml:space="preserve">edical </w:t>
      </w:r>
      <w:r w:rsidR="008542B1">
        <w:rPr>
          <w:rFonts w:ascii="Arial" w:hAnsi="Arial" w:cs="Arial"/>
        </w:rPr>
        <w:t>n</w:t>
      </w:r>
      <w:r w:rsidRPr="00CE28BB">
        <w:rPr>
          <w:rFonts w:ascii="Arial" w:hAnsi="Arial" w:cs="Arial"/>
        </w:rPr>
        <w:t>ecessity is defined a</w:t>
      </w:r>
      <w:r w:rsidR="008542B1">
        <w:rPr>
          <w:rFonts w:ascii="Arial" w:hAnsi="Arial" w:cs="Arial"/>
        </w:rPr>
        <w:t>s</w:t>
      </w:r>
      <w:r w:rsidRPr="00CE28BB">
        <w:rPr>
          <w:rFonts w:ascii="Arial" w:hAnsi="Arial" w:cs="Arial"/>
        </w:rPr>
        <w:t xml:space="preserve">: </w:t>
      </w:r>
      <w:r w:rsidR="008542B1">
        <w:rPr>
          <w:rFonts w:ascii="Arial" w:hAnsi="Arial" w:cs="Arial"/>
        </w:rPr>
        <w:t>“</w:t>
      </w:r>
      <w:r w:rsidRPr="00CE28BB">
        <w:rPr>
          <w:rFonts w:ascii="Arial" w:eastAsia="Arial" w:hAnsi="Arial" w:cs="Arial"/>
        </w:rPr>
        <w:t>Health care services or supplies needed to diagnose or treat an illness, injury, condition, disease or its symptoms and that meet accepted standards of medicine.</w:t>
      </w:r>
      <w:r w:rsidR="008542B1">
        <w:rPr>
          <w:rFonts w:ascii="Arial" w:eastAsia="Arial" w:hAnsi="Arial" w:cs="Arial"/>
        </w:rPr>
        <w:t>”</w:t>
      </w:r>
      <w:r w:rsidR="00134A0B">
        <w:rPr>
          <w:rStyle w:val="FootnoteReference"/>
          <w:rFonts w:ascii="Arial" w:eastAsia="Arial" w:hAnsi="Arial" w:cs="Arial"/>
        </w:rPr>
        <w:footnoteReference w:id="1"/>
      </w:r>
      <w:r w:rsidR="00134A0B">
        <w:rPr>
          <w:rFonts w:ascii="Arial" w:eastAsia="Arial" w:hAnsi="Arial" w:cs="Arial"/>
        </w:rPr>
        <w:t xml:space="preserve">  </w:t>
      </w:r>
      <w:r w:rsidR="008542B1">
        <w:rPr>
          <w:rFonts w:ascii="Arial" w:eastAsia="Arial" w:hAnsi="Arial" w:cs="Arial"/>
        </w:rPr>
        <w:t>I</w:t>
      </w:r>
      <w:r w:rsidR="00134A0B">
        <w:rPr>
          <w:rFonts w:ascii="Arial" w:eastAsia="Arial" w:hAnsi="Arial" w:cs="Arial"/>
        </w:rPr>
        <w:t xml:space="preserve">n the Code of Federal Regulations (CFR), </w:t>
      </w:r>
      <w:r w:rsidR="003C1CE4" w:rsidRPr="00CE28BB">
        <w:rPr>
          <w:rFonts w:ascii="Arial" w:hAnsi="Arial" w:cs="Arial"/>
        </w:rPr>
        <w:t xml:space="preserve">“Prior Determination of Medical Necessity” means an individual decision by a Medicare contractor, before a physician's service is furnished, as to whether or not the physician's </w:t>
      </w:r>
      <w:proofErr w:type="gramStart"/>
      <w:r w:rsidR="003C1CE4" w:rsidRPr="00CE28BB">
        <w:rPr>
          <w:rFonts w:ascii="Arial" w:hAnsi="Arial" w:cs="Arial"/>
        </w:rPr>
        <w:t>service</w:t>
      </w:r>
      <w:proofErr w:type="gramEnd"/>
      <w:r w:rsidR="003C1CE4" w:rsidRPr="00CE28BB">
        <w:rPr>
          <w:rFonts w:ascii="Arial" w:hAnsi="Arial" w:cs="Arial"/>
        </w:rPr>
        <w:t xml:space="preserve"> is covered consistent with the requirements of section 1862(a)(1)(A) of the </w:t>
      </w:r>
      <w:r w:rsidR="008542B1">
        <w:rPr>
          <w:rFonts w:ascii="Arial" w:hAnsi="Arial" w:cs="Arial"/>
        </w:rPr>
        <w:t xml:space="preserve">Social Security </w:t>
      </w:r>
      <w:r w:rsidR="003C1CE4" w:rsidRPr="00CE28BB">
        <w:rPr>
          <w:rFonts w:ascii="Arial" w:hAnsi="Arial" w:cs="Arial"/>
        </w:rPr>
        <w:t>Act relating to medical necessity.”</w:t>
      </w:r>
      <w:r w:rsidR="00134A0B">
        <w:rPr>
          <w:rStyle w:val="FootnoteReference"/>
          <w:rFonts w:ascii="Arial" w:hAnsi="Arial" w:cs="Arial"/>
        </w:rPr>
        <w:footnoteReference w:id="2"/>
      </w:r>
      <w:r w:rsidR="0055408F">
        <w:rPr>
          <w:rFonts w:ascii="Arial" w:hAnsi="Arial" w:cs="Arial"/>
        </w:rPr>
        <w:t xml:space="preserve"> </w:t>
      </w:r>
      <w:r w:rsidR="0055408F" w:rsidRPr="0055408F">
        <w:rPr>
          <w:rFonts w:ascii="Arial" w:hAnsi="Arial" w:cs="Arial"/>
        </w:rPr>
        <w:t>The Social Security Act defin</w:t>
      </w:r>
      <w:bookmarkStart w:id="0" w:name="_GoBack"/>
      <w:bookmarkEnd w:id="0"/>
      <w:r w:rsidR="0055408F" w:rsidRPr="0055408F">
        <w:rPr>
          <w:rFonts w:ascii="Arial" w:hAnsi="Arial" w:cs="Arial"/>
        </w:rPr>
        <w:t xml:space="preserve">es </w:t>
      </w:r>
      <w:r w:rsidR="0055408F" w:rsidRPr="0055408F">
        <w:rPr>
          <w:rFonts w:ascii="Arial" w:hAnsi="Arial" w:cs="Arial"/>
        </w:rPr>
        <w:lastRenderedPageBreak/>
        <w:t>"medically necessary" in terms of what Medicare will pay for: "No Medicare payment may be made for any expenses which are not reasonable and necessary for the diagnosis or treatment of illness or injury or to improve the functioning of a malformed body member."</w:t>
      </w:r>
    </w:p>
    <w:p w14:paraId="7546EBD3" w14:textId="77777777" w:rsidR="00A17F9B" w:rsidRDefault="00A17F9B" w:rsidP="00134A0B">
      <w:pPr>
        <w:rPr>
          <w:rFonts w:ascii="Arial" w:hAnsi="Arial" w:cs="Arial"/>
        </w:rPr>
      </w:pPr>
    </w:p>
    <w:p w14:paraId="7D01FEC5" w14:textId="5097BFEE" w:rsidR="000279F8" w:rsidRDefault="000279F8" w:rsidP="00134A0B">
      <w:pPr>
        <w:rPr>
          <w:rFonts w:ascii="Arial" w:hAnsi="Arial" w:cs="Arial"/>
        </w:rPr>
      </w:pPr>
    </w:p>
    <w:p w14:paraId="68AAEABF" w14:textId="60091459" w:rsidR="000279F8" w:rsidRPr="00862699" w:rsidRDefault="000279F8" w:rsidP="00134A0B">
      <w:pPr>
        <w:rPr>
          <w:rFonts w:ascii="Arial" w:hAnsi="Arial" w:cs="Arial"/>
          <w:b/>
          <w:bCs/>
        </w:rPr>
      </w:pPr>
      <w:r w:rsidRPr="00862699">
        <w:rPr>
          <w:rFonts w:ascii="Arial" w:hAnsi="Arial" w:cs="Arial"/>
          <w:b/>
          <w:bCs/>
        </w:rPr>
        <w:t>MEDICAL NECESSITY AND THE IEP/IFSP</w:t>
      </w:r>
    </w:p>
    <w:p w14:paraId="21E7E68C" w14:textId="73E26B5B" w:rsidR="004F1FEE" w:rsidRDefault="004F1FEE" w:rsidP="00134A0B">
      <w:pPr>
        <w:rPr>
          <w:rFonts w:ascii="Arial" w:hAnsi="Arial" w:cs="Arial"/>
        </w:rPr>
      </w:pPr>
    </w:p>
    <w:p w14:paraId="28F1C5B9" w14:textId="20DEE97F" w:rsidR="000279F8" w:rsidRDefault="000279F8" w:rsidP="00134A0B">
      <w:pPr>
        <w:rPr>
          <w:rFonts w:ascii="Arial" w:hAnsi="Arial" w:cs="Arial"/>
        </w:rPr>
      </w:pPr>
      <w:r w:rsidRPr="000279F8">
        <w:rPr>
          <w:rFonts w:ascii="Arial" w:hAnsi="Arial" w:cs="Arial"/>
        </w:rPr>
        <w:t>The Individuals with Disabilities Education Act (IDEA), formerly called the Education of the Handicapped Act, authorized Federal funding to states for two programs that impact Medicaid payment for</w:t>
      </w:r>
      <w:r w:rsidRPr="000279F8">
        <w:t xml:space="preserve"> </w:t>
      </w:r>
      <w:r w:rsidRPr="000279F8">
        <w:rPr>
          <w:rFonts w:ascii="Arial" w:hAnsi="Arial" w:cs="Arial"/>
        </w:rPr>
        <w:t>services provided in schools. Section 411(k</w:t>
      </w:r>
      <w:proofErr w:type="gramStart"/>
      <w:r w:rsidRPr="000279F8">
        <w:rPr>
          <w:rFonts w:ascii="Arial" w:hAnsi="Arial" w:cs="Arial"/>
        </w:rPr>
        <w:t>)(</w:t>
      </w:r>
      <w:proofErr w:type="gramEnd"/>
      <w:r w:rsidRPr="000279F8">
        <w:rPr>
          <w:rFonts w:ascii="Arial" w:hAnsi="Arial" w:cs="Arial"/>
        </w:rPr>
        <w:t>13) of the Medicare Catastrophic Coverage Act of 1988 (P.L. 100-360) amended section 1903(c) of the Act to permit Medicaid payment for medical services provided to children under IDEA through a child’s IEP</w:t>
      </w:r>
      <w:r>
        <w:rPr>
          <w:rFonts w:ascii="Arial" w:hAnsi="Arial" w:cs="Arial"/>
        </w:rPr>
        <w:t>/</w:t>
      </w:r>
      <w:r w:rsidRPr="000279F8">
        <w:rPr>
          <w:rFonts w:ascii="Arial" w:hAnsi="Arial" w:cs="Arial"/>
        </w:rPr>
        <w:t>IFSP. This amendment was enacted to ensure that Medicaid would cover the health-related services under IDEA.</w:t>
      </w:r>
    </w:p>
    <w:p w14:paraId="1DEB51A5" w14:textId="77777777" w:rsidR="000279F8" w:rsidRDefault="000279F8" w:rsidP="00134A0B">
      <w:pPr>
        <w:rPr>
          <w:rFonts w:ascii="Arial" w:hAnsi="Arial" w:cs="Arial"/>
        </w:rPr>
      </w:pPr>
    </w:p>
    <w:p w14:paraId="503D881B" w14:textId="0AD6F83E" w:rsidR="004F1FEE" w:rsidRDefault="004F1FEE" w:rsidP="00134A0B">
      <w:pPr>
        <w:rPr>
          <w:rFonts w:ascii="Arial" w:hAnsi="Arial" w:cs="Arial"/>
        </w:rPr>
      </w:pPr>
      <w:r>
        <w:rPr>
          <w:rFonts w:ascii="Arial" w:hAnsi="Arial" w:cs="Arial"/>
        </w:rPr>
        <w:t>U</w:t>
      </w:r>
      <w:r w:rsidRPr="004F1FEE">
        <w:rPr>
          <w:rFonts w:ascii="Arial" w:hAnsi="Arial" w:cs="Arial"/>
        </w:rPr>
        <w:t xml:space="preserve">nder Part B of </w:t>
      </w:r>
      <w:r w:rsidR="00BE41CD">
        <w:rPr>
          <w:rFonts w:ascii="Arial" w:hAnsi="Arial" w:cs="Arial"/>
        </w:rPr>
        <w:t xml:space="preserve">the </w:t>
      </w:r>
      <w:r w:rsidRPr="004F1FEE">
        <w:rPr>
          <w:rFonts w:ascii="Arial" w:hAnsi="Arial" w:cs="Arial"/>
        </w:rPr>
        <w:t xml:space="preserve">IDEA, </w:t>
      </w:r>
      <w:r>
        <w:rPr>
          <w:rFonts w:ascii="Arial" w:hAnsi="Arial" w:cs="Arial"/>
        </w:rPr>
        <w:t>LEAs</w:t>
      </w:r>
      <w:r w:rsidRPr="004F1FEE">
        <w:rPr>
          <w:rFonts w:ascii="Arial" w:hAnsi="Arial" w:cs="Arial"/>
        </w:rPr>
        <w:t xml:space="preserve"> must prepare an IEP for each child which specifies all special education and “related services” needed by the child. The Medicaid program can pay for some of the “health related services” required by Part B of IDEA in an IEP, if they are among the services specified in Medicaid law</w:t>
      </w:r>
      <w:r w:rsidR="00BE41CD">
        <w:rPr>
          <w:rFonts w:ascii="Arial" w:hAnsi="Arial" w:cs="Arial"/>
        </w:rPr>
        <w:t xml:space="preserve">. </w:t>
      </w:r>
      <w:r w:rsidR="00BE41CD" w:rsidRPr="00BE41CD">
        <w:rPr>
          <w:rFonts w:ascii="Arial" w:hAnsi="Arial" w:cs="Arial"/>
        </w:rPr>
        <w:t>If medical evaluations or assessments are conducted to determine a child’s health-related needs for purposes of the IEP, payment for some or all of the costs may be available under Medicaid. However, if the evaluations or assessments are for educational purposes, Medicaid reimbursement is not</w:t>
      </w:r>
      <w:r w:rsidR="00BE41CD">
        <w:rPr>
          <w:rFonts w:ascii="Arial" w:hAnsi="Arial" w:cs="Arial"/>
        </w:rPr>
        <w:t xml:space="preserve"> </w:t>
      </w:r>
      <w:r w:rsidR="00BE41CD" w:rsidRPr="00BE41CD">
        <w:rPr>
          <w:rFonts w:ascii="Arial" w:hAnsi="Arial" w:cs="Arial"/>
        </w:rPr>
        <w:t>available. Medicaid payment is only available for the part of the assessment that is medical in nature and provided by qualified Medicaid providers. In addition, reimbursement for non-medical services, such as special instruction, is not</w:t>
      </w:r>
      <w:r w:rsidR="00BE41CD">
        <w:rPr>
          <w:rFonts w:ascii="Arial" w:hAnsi="Arial" w:cs="Arial"/>
        </w:rPr>
        <w:t xml:space="preserve"> a reimbursable service through Medicaid.</w:t>
      </w:r>
    </w:p>
    <w:p w14:paraId="34DAE320" w14:textId="4C480D54" w:rsidR="000279F8" w:rsidRDefault="000279F8" w:rsidP="00134A0B">
      <w:pPr>
        <w:rPr>
          <w:rFonts w:ascii="Arial" w:hAnsi="Arial" w:cs="Arial"/>
        </w:rPr>
      </w:pPr>
    </w:p>
    <w:p w14:paraId="03342D08" w14:textId="3419D986" w:rsidR="000279F8" w:rsidRDefault="000279F8" w:rsidP="00134A0B">
      <w:pPr>
        <w:rPr>
          <w:rFonts w:ascii="Arial" w:hAnsi="Arial" w:cs="Arial"/>
        </w:rPr>
      </w:pPr>
      <w:r w:rsidRPr="000279F8">
        <w:rPr>
          <w:rFonts w:ascii="Arial" w:hAnsi="Arial" w:cs="Arial"/>
        </w:rPr>
        <w:t>Part H of IDEA provides for early intervention programs that include all of the available developmental services needed by the infant or toddler with special health needs and the development of an IFSP. Many of the health services included in IFSPs can be covered by Medicaid as well.</w:t>
      </w:r>
    </w:p>
    <w:p w14:paraId="48D55D1D" w14:textId="3C61ED97" w:rsidR="00B33EDB" w:rsidRDefault="00B33EDB" w:rsidP="00134A0B">
      <w:pPr>
        <w:rPr>
          <w:rFonts w:ascii="Arial" w:hAnsi="Arial" w:cs="Arial"/>
        </w:rPr>
      </w:pPr>
    </w:p>
    <w:p w14:paraId="13E47B59" w14:textId="4BD02B13" w:rsidR="00B33EDB" w:rsidRDefault="00B33EDB" w:rsidP="00134A0B">
      <w:pPr>
        <w:rPr>
          <w:rFonts w:ascii="Arial" w:hAnsi="Arial" w:cs="Arial"/>
        </w:rPr>
      </w:pPr>
      <w:r>
        <w:rPr>
          <w:rFonts w:ascii="Arial" w:hAnsi="Arial" w:cs="Arial"/>
        </w:rPr>
        <w:t xml:space="preserve">While services must be medically necessary to receive Medicaid reimbursement, the services may also </w:t>
      </w:r>
      <w:r w:rsidRPr="00B33EDB">
        <w:rPr>
          <w:rFonts w:ascii="Arial" w:hAnsi="Arial" w:cs="Arial"/>
        </w:rPr>
        <w:t>help students achieve educational goals and access the curriculum.</w:t>
      </w:r>
      <w:r>
        <w:rPr>
          <w:rFonts w:ascii="Arial" w:hAnsi="Arial" w:cs="Arial"/>
        </w:rPr>
        <w:t xml:space="preserve"> Therefore, so long as the services are medically necessary (and meet all other requirements), they are eligible for Medicaid reimbursement. </w:t>
      </w:r>
    </w:p>
    <w:p w14:paraId="0E1EF813" w14:textId="77777777" w:rsidR="003C1CE4" w:rsidRPr="00CE28BB" w:rsidRDefault="003C1CE4" w:rsidP="003C1CE4">
      <w:pPr>
        <w:spacing w:before="120" w:after="120"/>
        <w:rPr>
          <w:rFonts w:ascii="Arial" w:hAnsi="Arial" w:cs="Arial"/>
        </w:rPr>
      </w:pPr>
    </w:p>
    <w:p w14:paraId="6AFFCED0" w14:textId="0308BF51" w:rsidR="004553D5" w:rsidRPr="00CE28BB" w:rsidRDefault="000279F8" w:rsidP="00385654">
      <w:pPr>
        <w:spacing w:before="120" w:after="120"/>
        <w:rPr>
          <w:rFonts w:ascii="Arial" w:hAnsi="Arial" w:cs="Arial"/>
          <w:b/>
          <w:bCs/>
          <w:color w:val="000000"/>
        </w:rPr>
      </w:pPr>
      <w:r>
        <w:rPr>
          <w:rFonts w:ascii="Arial" w:hAnsi="Arial" w:cs="Arial"/>
          <w:b/>
          <w:bCs/>
          <w:color w:val="000000"/>
        </w:rPr>
        <w:t>DETERMINATION OF MEDICAL NECESSITY</w:t>
      </w:r>
    </w:p>
    <w:p w14:paraId="563D8AE5" w14:textId="3870598A" w:rsidR="00F52DB2" w:rsidRDefault="00F52DB2" w:rsidP="00385654">
      <w:pPr>
        <w:spacing w:before="120" w:after="120"/>
        <w:rPr>
          <w:rFonts w:ascii="Arial" w:hAnsi="Arial" w:cs="Arial"/>
          <w:color w:val="000000"/>
        </w:rPr>
      </w:pPr>
      <w:r w:rsidRPr="00CE28BB">
        <w:rPr>
          <w:rFonts w:ascii="Arial" w:hAnsi="Arial" w:cs="Arial"/>
          <w:color w:val="000000"/>
        </w:rPr>
        <w:t xml:space="preserve">Determination of </w:t>
      </w:r>
      <w:r w:rsidR="008542B1">
        <w:rPr>
          <w:rFonts w:ascii="Arial" w:hAnsi="Arial" w:cs="Arial"/>
          <w:color w:val="000000"/>
        </w:rPr>
        <w:t>m</w:t>
      </w:r>
      <w:r w:rsidRPr="00CE28BB">
        <w:rPr>
          <w:rFonts w:ascii="Arial" w:hAnsi="Arial" w:cs="Arial"/>
          <w:color w:val="000000"/>
        </w:rPr>
        <w:t xml:space="preserve">edical </w:t>
      </w:r>
      <w:r w:rsidR="008542B1">
        <w:rPr>
          <w:rFonts w:ascii="Arial" w:hAnsi="Arial" w:cs="Arial"/>
          <w:color w:val="000000"/>
        </w:rPr>
        <w:t>n</w:t>
      </w:r>
      <w:r w:rsidRPr="00CE28BB">
        <w:rPr>
          <w:rFonts w:ascii="Arial" w:hAnsi="Arial" w:cs="Arial"/>
          <w:color w:val="000000"/>
        </w:rPr>
        <w:t>ecessity is related to the student’s IEP and IFSPs and services specified there</w:t>
      </w:r>
      <w:r w:rsidR="00077144">
        <w:rPr>
          <w:rFonts w:ascii="Arial" w:hAnsi="Arial" w:cs="Arial"/>
          <w:color w:val="000000"/>
        </w:rPr>
        <w:t xml:space="preserve"> are</w:t>
      </w:r>
      <w:r w:rsidRPr="00CE28BB">
        <w:rPr>
          <w:rFonts w:ascii="Arial" w:hAnsi="Arial" w:cs="Arial"/>
          <w:color w:val="000000"/>
        </w:rPr>
        <w:t xml:space="preserve"> from the ordering, prescription, or referral by a physician or other licensed provider within the provider’s scope of practice under state law. </w:t>
      </w:r>
      <w:r w:rsidR="0055408F">
        <w:rPr>
          <w:rFonts w:ascii="Arial" w:hAnsi="Arial" w:cs="Arial"/>
          <w:color w:val="000000"/>
        </w:rPr>
        <w:t xml:space="preserve">Within the LEA, medical necessity is determined based off of the provider delivering service to the student. </w:t>
      </w:r>
      <w:r w:rsidR="001A4C34">
        <w:rPr>
          <w:rFonts w:ascii="Arial" w:hAnsi="Arial" w:cs="Arial"/>
          <w:color w:val="000000"/>
        </w:rPr>
        <w:t xml:space="preserve">A list of the services and providers who are eligible to determine medical necessity </w:t>
      </w:r>
      <w:r w:rsidR="00A17F9B">
        <w:rPr>
          <w:rFonts w:ascii="Arial" w:hAnsi="Arial" w:cs="Arial"/>
          <w:color w:val="000000"/>
        </w:rPr>
        <w:t xml:space="preserve">in the Wyoming SBS Program </w:t>
      </w:r>
      <w:r w:rsidR="001A4C34">
        <w:rPr>
          <w:rFonts w:ascii="Arial" w:hAnsi="Arial" w:cs="Arial"/>
          <w:color w:val="000000"/>
        </w:rPr>
        <w:t>is below:</w:t>
      </w:r>
    </w:p>
    <w:p w14:paraId="238A0D15" w14:textId="77777777" w:rsidR="00952924" w:rsidRPr="00CE28BB" w:rsidRDefault="00952924" w:rsidP="00385654">
      <w:pPr>
        <w:spacing w:before="120" w:after="120"/>
        <w:rPr>
          <w:rFonts w:ascii="Arial" w:hAnsi="Arial" w:cs="Arial"/>
          <w:color w:val="000000"/>
        </w:rPr>
      </w:pPr>
    </w:p>
    <w:tbl>
      <w:tblPr>
        <w:tblStyle w:val="TableGrid2"/>
        <w:tblW w:w="9535" w:type="dxa"/>
        <w:tblLook w:val="04A0" w:firstRow="1" w:lastRow="0" w:firstColumn="1" w:lastColumn="0" w:noHBand="0" w:noVBand="1"/>
      </w:tblPr>
      <w:tblGrid>
        <w:gridCol w:w="4405"/>
        <w:gridCol w:w="5130"/>
      </w:tblGrid>
      <w:tr w:rsidR="00952924" w:rsidRPr="00952924" w14:paraId="3452924F" w14:textId="77777777" w:rsidTr="00952924">
        <w:tc>
          <w:tcPr>
            <w:tcW w:w="4405" w:type="dxa"/>
            <w:shd w:val="clear" w:color="auto" w:fill="92D050"/>
          </w:tcPr>
          <w:p w14:paraId="07593E6E" w14:textId="32B2A9FC" w:rsidR="00952924" w:rsidRPr="00952924" w:rsidRDefault="00952924" w:rsidP="00952924">
            <w:pPr>
              <w:jc w:val="center"/>
              <w:rPr>
                <w:b/>
              </w:rPr>
            </w:pPr>
            <w:bookmarkStart w:id="1" w:name="_Hlk107899610"/>
            <w:r>
              <w:rPr>
                <w:b/>
              </w:rPr>
              <w:t>Services</w:t>
            </w:r>
          </w:p>
        </w:tc>
        <w:tc>
          <w:tcPr>
            <w:tcW w:w="5130" w:type="dxa"/>
            <w:shd w:val="clear" w:color="auto" w:fill="92D050"/>
          </w:tcPr>
          <w:p w14:paraId="05BCBAAF" w14:textId="7D3E4707" w:rsidR="00952924" w:rsidRPr="00952924" w:rsidRDefault="00952924" w:rsidP="00952924">
            <w:pPr>
              <w:rPr>
                <w:b/>
              </w:rPr>
            </w:pPr>
            <w:r>
              <w:rPr>
                <w:b/>
              </w:rPr>
              <w:t xml:space="preserve">Providers </w:t>
            </w:r>
          </w:p>
        </w:tc>
      </w:tr>
      <w:tr w:rsidR="00952924" w:rsidRPr="00952924" w14:paraId="725F62F6" w14:textId="77777777" w:rsidTr="00952924">
        <w:tc>
          <w:tcPr>
            <w:tcW w:w="4405" w:type="dxa"/>
            <w:vMerge w:val="restart"/>
          </w:tcPr>
          <w:p w14:paraId="5EC3A628" w14:textId="61E6F9AF" w:rsidR="00952924" w:rsidRPr="00952924" w:rsidRDefault="00952924" w:rsidP="00952924">
            <w:pPr>
              <w:jc w:val="center"/>
            </w:pPr>
            <w:r>
              <w:t>Occupational Therapy</w:t>
            </w:r>
          </w:p>
        </w:tc>
        <w:tc>
          <w:tcPr>
            <w:tcW w:w="5130" w:type="dxa"/>
          </w:tcPr>
          <w:p w14:paraId="12CA34FC" w14:textId="034DD993" w:rsidR="00952924" w:rsidRPr="00952924" w:rsidRDefault="00952924" w:rsidP="00952924">
            <w:r>
              <w:t>Occupational Therapist</w:t>
            </w:r>
          </w:p>
        </w:tc>
      </w:tr>
      <w:tr w:rsidR="00952924" w:rsidRPr="00952924" w14:paraId="7B0A198E" w14:textId="77777777" w:rsidTr="00952924">
        <w:tc>
          <w:tcPr>
            <w:tcW w:w="4405" w:type="dxa"/>
            <w:vMerge/>
          </w:tcPr>
          <w:p w14:paraId="430D0BCF" w14:textId="77777777" w:rsidR="00952924" w:rsidRDefault="00952924" w:rsidP="00952924">
            <w:pPr>
              <w:jc w:val="center"/>
            </w:pPr>
          </w:p>
        </w:tc>
        <w:tc>
          <w:tcPr>
            <w:tcW w:w="5130" w:type="dxa"/>
          </w:tcPr>
          <w:p w14:paraId="668AEF45" w14:textId="745491CF" w:rsidR="00952924" w:rsidRPr="00952924" w:rsidRDefault="00952924" w:rsidP="00952924">
            <w:pPr>
              <w:rPr>
                <w:rFonts w:eastAsia="Calibri"/>
              </w:rPr>
            </w:pPr>
            <w:r>
              <w:rPr>
                <w:rFonts w:eastAsia="Calibri"/>
              </w:rPr>
              <w:t>Occupational Therapy Assistant</w:t>
            </w:r>
          </w:p>
        </w:tc>
      </w:tr>
      <w:tr w:rsidR="00952924" w:rsidRPr="00952924" w14:paraId="3CB1E836" w14:textId="77777777" w:rsidTr="00952924">
        <w:tc>
          <w:tcPr>
            <w:tcW w:w="4405" w:type="dxa"/>
            <w:vMerge w:val="restart"/>
            <w:vAlign w:val="center"/>
          </w:tcPr>
          <w:p w14:paraId="50647924" w14:textId="30C6365E" w:rsidR="00952924" w:rsidRPr="00952924" w:rsidRDefault="00952924" w:rsidP="00952924">
            <w:pPr>
              <w:jc w:val="center"/>
            </w:pPr>
            <w:r>
              <w:t>Nursing/Health Services</w:t>
            </w:r>
          </w:p>
        </w:tc>
        <w:tc>
          <w:tcPr>
            <w:tcW w:w="5130" w:type="dxa"/>
          </w:tcPr>
          <w:p w14:paraId="39884AFF" w14:textId="6C1B2510" w:rsidR="00952924" w:rsidRPr="00952924" w:rsidRDefault="00952924" w:rsidP="00952924">
            <w:r>
              <w:t>Registered Nurses (RN)</w:t>
            </w:r>
          </w:p>
        </w:tc>
      </w:tr>
      <w:tr w:rsidR="00952924" w:rsidRPr="00952924" w14:paraId="53087DFB" w14:textId="77777777" w:rsidTr="00952924">
        <w:tc>
          <w:tcPr>
            <w:tcW w:w="4405" w:type="dxa"/>
            <w:vMerge/>
          </w:tcPr>
          <w:p w14:paraId="76ACBE00" w14:textId="77777777" w:rsidR="00952924" w:rsidRDefault="00952924" w:rsidP="00952924">
            <w:pPr>
              <w:jc w:val="center"/>
            </w:pPr>
          </w:p>
        </w:tc>
        <w:tc>
          <w:tcPr>
            <w:tcW w:w="5130" w:type="dxa"/>
          </w:tcPr>
          <w:p w14:paraId="5C01FB09" w14:textId="08DF528E" w:rsidR="00952924" w:rsidRPr="00952924" w:rsidRDefault="00952924" w:rsidP="00952924">
            <w:pPr>
              <w:rPr>
                <w:rFonts w:eastAsia="Calibri"/>
              </w:rPr>
            </w:pPr>
            <w:r>
              <w:rPr>
                <w:rFonts w:eastAsia="Calibri"/>
              </w:rPr>
              <w:t>Advanced Practice Registered Nurses (APRN)</w:t>
            </w:r>
          </w:p>
        </w:tc>
      </w:tr>
      <w:tr w:rsidR="00952924" w:rsidRPr="00952924" w14:paraId="63CC9232" w14:textId="77777777" w:rsidTr="00952924">
        <w:tc>
          <w:tcPr>
            <w:tcW w:w="4405" w:type="dxa"/>
            <w:vMerge/>
          </w:tcPr>
          <w:p w14:paraId="79F59193" w14:textId="77777777" w:rsidR="00952924" w:rsidRDefault="00952924" w:rsidP="00952924">
            <w:pPr>
              <w:jc w:val="center"/>
            </w:pPr>
          </w:p>
        </w:tc>
        <w:tc>
          <w:tcPr>
            <w:tcW w:w="5130" w:type="dxa"/>
          </w:tcPr>
          <w:p w14:paraId="5CDEA0D2" w14:textId="54D7BC90" w:rsidR="00952924" w:rsidRPr="00952924" w:rsidRDefault="00952924" w:rsidP="00952924">
            <w:pPr>
              <w:rPr>
                <w:rFonts w:eastAsia="Calibri"/>
              </w:rPr>
            </w:pPr>
            <w:r w:rsidRPr="00952924">
              <w:rPr>
                <w:rFonts w:eastAsia="Calibri"/>
              </w:rPr>
              <w:t>Licensed Practical Nurses (LPN)</w:t>
            </w:r>
          </w:p>
        </w:tc>
      </w:tr>
      <w:tr w:rsidR="00952924" w:rsidRPr="00952924" w14:paraId="59CD5C34" w14:textId="77777777" w:rsidTr="00952924">
        <w:tc>
          <w:tcPr>
            <w:tcW w:w="4405" w:type="dxa"/>
            <w:vMerge w:val="restart"/>
            <w:vAlign w:val="center"/>
          </w:tcPr>
          <w:p w14:paraId="102635B7" w14:textId="14575C27" w:rsidR="00952924" w:rsidRPr="00952924" w:rsidRDefault="00952924" w:rsidP="00952924">
            <w:pPr>
              <w:jc w:val="center"/>
            </w:pPr>
            <w:r>
              <w:t>Speech-Language and Hearing Services</w:t>
            </w:r>
          </w:p>
        </w:tc>
        <w:tc>
          <w:tcPr>
            <w:tcW w:w="5130" w:type="dxa"/>
          </w:tcPr>
          <w:p w14:paraId="24E755A5" w14:textId="5968F486" w:rsidR="00952924" w:rsidRPr="00952924" w:rsidRDefault="00952924" w:rsidP="00952924">
            <w:r w:rsidRPr="00A716B9">
              <w:rPr>
                <w:rFonts w:eastAsia="Calibri"/>
              </w:rPr>
              <w:t xml:space="preserve">Audiologist </w:t>
            </w:r>
          </w:p>
        </w:tc>
      </w:tr>
      <w:tr w:rsidR="00952924" w:rsidRPr="00952924" w14:paraId="258EAD74" w14:textId="77777777" w:rsidTr="00952924">
        <w:tc>
          <w:tcPr>
            <w:tcW w:w="4405" w:type="dxa"/>
            <w:vMerge/>
          </w:tcPr>
          <w:p w14:paraId="144291F9" w14:textId="77777777" w:rsidR="00952924" w:rsidRDefault="00952924" w:rsidP="00952924">
            <w:pPr>
              <w:jc w:val="center"/>
            </w:pPr>
          </w:p>
        </w:tc>
        <w:tc>
          <w:tcPr>
            <w:tcW w:w="5130" w:type="dxa"/>
          </w:tcPr>
          <w:p w14:paraId="58E6B3DB" w14:textId="2A79AD1F" w:rsidR="00952924" w:rsidRPr="00952924" w:rsidRDefault="00952924" w:rsidP="00952924">
            <w:pPr>
              <w:rPr>
                <w:rFonts w:eastAsia="Calibri"/>
              </w:rPr>
            </w:pPr>
            <w:r>
              <w:rPr>
                <w:rFonts w:eastAsia="Calibri"/>
              </w:rPr>
              <w:t>Speech Therapist</w:t>
            </w:r>
          </w:p>
        </w:tc>
      </w:tr>
      <w:tr w:rsidR="00952924" w:rsidRPr="00952924" w14:paraId="017E0101" w14:textId="77777777" w:rsidTr="00952924">
        <w:tc>
          <w:tcPr>
            <w:tcW w:w="4405" w:type="dxa"/>
            <w:vMerge w:val="restart"/>
            <w:vAlign w:val="center"/>
          </w:tcPr>
          <w:p w14:paraId="365718BF" w14:textId="032062EB" w:rsidR="00952924" w:rsidRPr="00952924" w:rsidRDefault="00952924" w:rsidP="00952924">
            <w:pPr>
              <w:jc w:val="center"/>
            </w:pPr>
            <w:r>
              <w:t>Physical Therapy</w:t>
            </w:r>
          </w:p>
        </w:tc>
        <w:tc>
          <w:tcPr>
            <w:tcW w:w="5130" w:type="dxa"/>
          </w:tcPr>
          <w:p w14:paraId="465D39C4" w14:textId="7C42F97F" w:rsidR="00952924" w:rsidRPr="00952924" w:rsidRDefault="00952924" w:rsidP="00952924">
            <w:r w:rsidRPr="00835A9F">
              <w:rPr>
                <w:rFonts w:eastAsia="Calibri"/>
              </w:rPr>
              <w:t xml:space="preserve">Physical Therapist </w:t>
            </w:r>
          </w:p>
        </w:tc>
      </w:tr>
      <w:tr w:rsidR="00952924" w:rsidRPr="00952924" w14:paraId="005FE8E4" w14:textId="77777777" w:rsidTr="00952924">
        <w:tc>
          <w:tcPr>
            <w:tcW w:w="4405" w:type="dxa"/>
            <w:vMerge/>
          </w:tcPr>
          <w:p w14:paraId="38B70DEC" w14:textId="77777777" w:rsidR="00952924" w:rsidRDefault="00952924" w:rsidP="00952924">
            <w:pPr>
              <w:jc w:val="center"/>
            </w:pPr>
          </w:p>
        </w:tc>
        <w:tc>
          <w:tcPr>
            <w:tcW w:w="5130" w:type="dxa"/>
          </w:tcPr>
          <w:p w14:paraId="619DDE24" w14:textId="306A673D" w:rsidR="00952924" w:rsidRPr="00952924" w:rsidRDefault="00952924" w:rsidP="00952924">
            <w:pPr>
              <w:rPr>
                <w:rFonts w:eastAsia="Calibri"/>
              </w:rPr>
            </w:pPr>
            <w:r>
              <w:rPr>
                <w:rFonts w:eastAsia="Calibri"/>
              </w:rPr>
              <w:t xml:space="preserve">Physical Therapy Assistant </w:t>
            </w:r>
          </w:p>
        </w:tc>
      </w:tr>
      <w:tr w:rsidR="00952924" w:rsidRPr="00952924" w14:paraId="3917C894" w14:textId="77777777" w:rsidTr="00952924">
        <w:tc>
          <w:tcPr>
            <w:tcW w:w="4405" w:type="dxa"/>
            <w:vMerge w:val="restart"/>
            <w:vAlign w:val="center"/>
          </w:tcPr>
          <w:p w14:paraId="59F92CF2" w14:textId="12E9001D" w:rsidR="00952924" w:rsidRPr="00952924" w:rsidRDefault="00952924" w:rsidP="00952924">
            <w:pPr>
              <w:jc w:val="center"/>
            </w:pPr>
            <w:r>
              <w:t>Psychology and Counseling Services</w:t>
            </w:r>
          </w:p>
        </w:tc>
        <w:tc>
          <w:tcPr>
            <w:tcW w:w="5130" w:type="dxa"/>
          </w:tcPr>
          <w:p w14:paraId="473E38D9" w14:textId="59C173E3" w:rsidR="00952924" w:rsidRPr="00952924" w:rsidRDefault="00952924" w:rsidP="00952924">
            <w:r w:rsidRPr="00FB0045">
              <w:rPr>
                <w:rFonts w:eastAsia="Calibri"/>
              </w:rPr>
              <w:t xml:space="preserve">Clinical Psychologist </w:t>
            </w:r>
          </w:p>
        </w:tc>
      </w:tr>
      <w:tr w:rsidR="00952924" w:rsidRPr="00952924" w14:paraId="634B03F5" w14:textId="77777777" w:rsidTr="00952924">
        <w:tc>
          <w:tcPr>
            <w:tcW w:w="4405" w:type="dxa"/>
            <w:vMerge/>
          </w:tcPr>
          <w:p w14:paraId="42D8B64F" w14:textId="012B43A3" w:rsidR="00952924" w:rsidRPr="00952924" w:rsidRDefault="00952924" w:rsidP="00952924">
            <w:pPr>
              <w:jc w:val="center"/>
            </w:pPr>
          </w:p>
        </w:tc>
        <w:tc>
          <w:tcPr>
            <w:tcW w:w="5130" w:type="dxa"/>
          </w:tcPr>
          <w:p w14:paraId="0ED6D8E2" w14:textId="09D19C82" w:rsidR="00952924" w:rsidRPr="00952924" w:rsidRDefault="00952924" w:rsidP="00952924">
            <w:r w:rsidRPr="00FB0045">
              <w:rPr>
                <w:rFonts w:eastAsia="Calibri"/>
              </w:rPr>
              <w:t>Licensed Clinical Social Worker (LCSW)</w:t>
            </w:r>
          </w:p>
        </w:tc>
      </w:tr>
      <w:tr w:rsidR="00952924" w:rsidRPr="00952924" w14:paraId="3C3C4CED" w14:textId="77777777" w:rsidTr="00952924">
        <w:tc>
          <w:tcPr>
            <w:tcW w:w="4405" w:type="dxa"/>
            <w:vMerge/>
          </w:tcPr>
          <w:p w14:paraId="73671037" w14:textId="77777777" w:rsidR="00952924" w:rsidRPr="00952924" w:rsidRDefault="00952924" w:rsidP="00952924">
            <w:pPr>
              <w:jc w:val="center"/>
              <w:rPr>
                <w:rFonts w:eastAsia="Calibri"/>
              </w:rPr>
            </w:pPr>
          </w:p>
        </w:tc>
        <w:tc>
          <w:tcPr>
            <w:tcW w:w="5130" w:type="dxa"/>
          </w:tcPr>
          <w:p w14:paraId="53E6118E" w14:textId="1820E968" w:rsidR="00952924" w:rsidRPr="00952924" w:rsidRDefault="00952924" w:rsidP="00952924">
            <w:pPr>
              <w:rPr>
                <w:rFonts w:eastAsia="Calibri"/>
              </w:rPr>
            </w:pPr>
            <w:r w:rsidRPr="00FB0045">
              <w:rPr>
                <w:rFonts w:eastAsia="Calibri"/>
              </w:rPr>
              <w:t>Licensed Marriage and Family Therapist (LMFT)</w:t>
            </w:r>
          </w:p>
        </w:tc>
      </w:tr>
      <w:tr w:rsidR="00952924" w:rsidRPr="00952924" w14:paraId="2C27CBAE" w14:textId="77777777" w:rsidTr="00952924">
        <w:tc>
          <w:tcPr>
            <w:tcW w:w="4405" w:type="dxa"/>
            <w:vMerge/>
          </w:tcPr>
          <w:p w14:paraId="1E80A7C0" w14:textId="77777777" w:rsidR="00952924" w:rsidRPr="00952924" w:rsidRDefault="00952924" w:rsidP="00952924">
            <w:pPr>
              <w:jc w:val="center"/>
              <w:rPr>
                <w:rFonts w:eastAsia="Calibri"/>
              </w:rPr>
            </w:pPr>
          </w:p>
        </w:tc>
        <w:tc>
          <w:tcPr>
            <w:tcW w:w="5130" w:type="dxa"/>
          </w:tcPr>
          <w:p w14:paraId="48B03D2D" w14:textId="41A70795" w:rsidR="00952924" w:rsidRPr="00952924" w:rsidRDefault="00952924" w:rsidP="00952924">
            <w:pPr>
              <w:rPr>
                <w:rFonts w:eastAsia="Calibri"/>
              </w:rPr>
            </w:pPr>
            <w:r w:rsidRPr="00277E6C">
              <w:rPr>
                <w:rFonts w:eastAsia="Calibri"/>
              </w:rPr>
              <w:t>Licensed Professional Counselor (LPC)</w:t>
            </w:r>
          </w:p>
        </w:tc>
      </w:tr>
      <w:tr w:rsidR="00952924" w:rsidRPr="00952924" w14:paraId="5B62B081" w14:textId="77777777" w:rsidTr="00952924">
        <w:tc>
          <w:tcPr>
            <w:tcW w:w="4405" w:type="dxa"/>
            <w:vMerge/>
          </w:tcPr>
          <w:p w14:paraId="5D8B629E" w14:textId="77777777" w:rsidR="00952924" w:rsidRPr="00952924" w:rsidRDefault="00952924" w:rsidP="00952924">
            <w:pPr>
              <w:jc w:val="center"/>
              <w:rPr>
                <w:rFonts w:eastAsia="Calibri"/>
              </w:rPr>
            </w:pPr>
          </w:p>
        </w:tc>
        <w:tc>
          <w:tcPr>
            <w:tcW w:w="5130" w:type="dxa"/>
          </w:tcPr>
          <w:p w14:paraId="47532296" w14:textId="5BBB576C" w:rsidR="00952924" w:rsidRPr="00952924" w:rsidRDefault="00952924" w:rsidP="00952924">
            <w:pPr>
              <w:rPr>
                <w:rFonts w:eastAsia="Calibri"/>
              </w:rPr>
            </w:pPr>
            <w:r>
              <w:rPr>
                <w:rFonts w:eastAsia="Calibri"/>
              </w:rPr>
              <w:t>Licensed Behavior Analyst</w:t>
            </w:r>
          </w:p>
        </w:tc>
      </w:tr>
      <w:bookmarkEnd w:id="1"/>
    </w:tbl>
    <w:p w14:paraId="16D30B93" w14:textId="77777777" w:rsidR="000279F8" w:rsidRPr="00CE28BB" w:rsidRDefault="000279F8" w:rsidP="00385654">
      <w:pPr>
        <w:spacing w:before="120" w:after="120"/>
        <w:rPr>
          <w:rFonts w:ascii="Arial" w:hAnsi="Arial" w:cs="Arial"/>
          <w:color w:val="000000"/>
        </w:rPr>
      </w:pPr>
    </w:p>
    <w:p w14:paraId="521F59F4" w14:textId="20440D37" w:rsidR="004553D5" w:rsidRPr="00CE28BB" w:rsidRDefault="004553D5" w:rsidP="00385654">
      <w:pPr>
        <w:spacing w:before="120" w:after="120"/>
        <w:rPr>
          <w:rFonts w:ascii="Arial" w:hAnsi="Arial" w:cs="Arial"/>
          <w:b/>
          <w:bCs/>
          <w:color w:val="000000"/>
        </w:rPr>
      </w:pPr>
    </w:p>
    <w:p w14:paraId="4818EF9D" w14:textId="77777777" w:rsidR="00706389" w:rsidRPr="00CE28BB" w:rsidRDefault="00706389" w:rsidP="00706389">
      <w:pPr>
        <w:pStyle w:val="BodyText"/>
        <w:rPr>
          <w:rFonts w:cs="Arial"/>
          <w:sz w:val="24"/>
          <w:szCs w:val="24"/>
          <w:highlight w:val="yellow"/>
        </w:rPr>
      </w:pPr>
      <w:r w:rsidRPr="00CE28BB">
        <w:rPr>
          <w:rFonts w:cs="Arial"/>
          <w:sz w:val="24"/>
          <w:szCs w:val="24"/>
        </w:rPr>
        <w:t xml:space="preserve">If you have additional questions regarding the SBS Program, please contact the Wyoming Department of Health via email at </w:t>
      </w:r>
      <w:hyperlink r:id="rId10" w:history="1">
        <w:r w:rsidRPr="00CE28BB">
          <w:rPr>
            <w:rStyle w:val="Hyperlink"/>
            <w:rFonts w:cs="Arial"/>
            <w:sz w:val="24"/>
            <w:szCs w:val="24"/>
          </w:rPr>
          <w:t>wdh-schoolbasedservices@wyo.gov</w:t>
        </w:r>
      </w:hyperlink>
      <w:r w:rsidRPr="00CE28BB">
        <w:rPr>
          <w:rFonts w:cs="Arial"/>
          <w:sz w:val="24"/>
          <w:szCs w:val="24"/>
        </w:rPr>
        <w:t xml:space="preserve"> or </w:t>
      </w:r>
      <w:hyperlink r:id="rId11" w:history="1">
        <w:r w:rsidRPr="00CE28BB">
          <w:rPr>
            <w:rStyle w:val="Hyperlink"/>
            <w:rFonts w:cs="Arial"/>
            <w:sz w:val="24"/>
            <w:szCs w:val="24"/>
          </w:rPr>
          <w:t>justin.browning1@wyo.gov</w:t>
        </w:r>
      </w:hyperlink>
      <w:r w:rsidRPr="00CE28BB">
        <w:rPr>
          <w:rFonts w:cs="Arial"/>
          <w:sz w:val="24"/>
          <w:szCs w:val="24"/>
        </w:rPr>
        <w:t xml:space="preserve"> or by phone at (307) 777-7491.</w:t>
      </w:r>
    </w:p>
    <w:p w14:paraId="7FAD2E67" w14:textId="77777777" w:rsidR="00706389" w:rsidRPr="00CE28BB" w:rsidRDefault="00706389" w:rsidP="00706389">
      <w:pPr>
        <w:pStyle w:val="BodyText"/>
        <w:rPr>
          <w:rFonts w:cs="Arial"/>
          <w:sz w:val="24"/>
          <w:szCs w:val="24"/>
        </w:rPr>
      </w:pPr>
      <w:r w:rsidRPr="00CE28BB">
        <w:rPr>
          <w:rFonts w:cs="Arial"/>
          <w:sz w:val="24"/>
          <w:szCs w:val="24"/>
        </w:rPr>
        <w:t xml:space="preserve">For more information on Wyoming’s SBS Program visit </w:t>
      </w:r>
      <w:hyperlink r:id="rId12" w:history="1">
        <w:r w:rsidRPr="00CE28BB">
          <w:rPr>
            <w:rStyle w:val="Hyperlink"/>
            <w:rFonts w:cs="Arial"/>
            <w:sz w:val="24"/>
            <w:szCs w:val="24"/>
          </w:rPr>
          <w:t>https://health.wyo.gov/healthcarefin/medicaid/school-based-services/</w:t>
        </w:r>
      </w:hyperlink>
      <w:r w:rsidRPr="00CE28BB">
        <w:rPr>
          <w:rFonts w:cs="Arial"/>
          <w:sz w:val="24"/>
          <w:szCs w:val="24"/>
        </w:rPr>
        <w:t xml:space="preserve"> </w:t>
      </w:r>
    </w:p>
    <w:p w14:paraId="4C52582A" w14:textId="7963A0E5" w:rsidR="00BE36C5" w:rsidRPr="00CE28BB" w:rsidRDefault="00706389" w:rsidP="00413257">
      <w:pPr>
        <w:spacing w:before="120" w:after="120" w:line="22" w:lineRule="atLeast"/>
        <w:rPr>
          <w:rFonts w:ascii="Arial" w:hAnsi="Arial" w:cs="Arial"/>
          <w:b/>
        </w:rPr>
      </w:pPr>
      <w:r w:rsidRPr="00CE28BB">
        <w:rPr>
          <w:rFonts w:ascii="Arial" w:hAnsi="Arial" w:cs="Arial"/>
          <w:b/>
        </w:rPr>
        <w:t xml:space="preserve"> </w:t>
      </w:r>
    </w:p>
    <w:p w14:paraId="0E0D2006" w14:textId="77777777" w:rsidR="00BE36C5" w:rsidRPr="00CE28BB" w:rsidRDefault="00BE36C5" w:rsidP="00BE5945">
      <w:pPr>
        <w:rPr>
          <w:rFonts w:ascii="Arial" w:hAnsi="Arial" w:cs="Arial"/>
        </w:rPr>
      </w:pPr>
    </w:p>
    <w:p w14:paraId="289234B6" w14:textId="77777777" w:rsidR="0095176A" w:rsidRPr="00CE28BB" w:rsidRDefault="0095176A" w:rsidP="00BE5945">
      <w:pPr>
        <w:rPr>
          <w:rFonts w:ascii="Arial" w:hAnsi="Arial" w:cs="Arial"/>
        </w:rPr>
      </w:pPr>
    </w:p>
    <w:p w14:paraId="0BFCFC3E" w14:textId="77777777" w:rsidR="0095176A" w:rsidRPr="00CE28BB" w:rsidRDefault="0095176A" w:rsidP="00BE5945">
      <w:pPr>
        <w:rPr>
          <w:rFonts w:ascii="Arial" w:hAnsi="Arial" w:cs="Arial"/>
        </w:rPr>
      </w:pPr>
    </w:p>
    <w:p w14:paraId="03658D00" w14:textId="77777777" w:rsidR="0095176A" w:rsidRPr="00CE28BB" w:rsidRDefault="0095176A" w:rsidP="00BE5945">
      <w:pPr>
        <w:rPr>
          <w:rFonts w:ascii="Arial" w:hAnsi="Arial" w:cs="Arial"/>
        </w:rPr>
      </w:pPr>
    </w:p>
    <w:p w14:paraId="69DEEE7F" w14:textId="77777777" w:rsidR="0095176A" w:rsidRPr="00CE28BB" w:rsidRDefault="0095176A" w:rsidP="00BE5945">
      <w:pPr>
        <w:rPr>
          <w:rFonts w:ascii="Arial" w:hAnsi="Arial" w:cs="Arial"/>
        </w:rPr>
      </w:pPr>
    </w:p>
    <w:p w14:paraId="28707281" w14:textId="77777777" w:rsidR="0095176A" w:rsidRPr="00CE28BB" w:rsidRDefault="0095176A" w:rsidP="00BE5945">
      <w:pPr>
        <w:rPr>
          <w:rFonts w:ascii="Arial" w:hAnsi="Arial" w:cs="Arial"/>
        </w:rPr>
      </w:pPr>
    </w:p>
    <w:p w14:paraId="2FAF2B57" w14:textId="77777777" w:rsidR="0095176A" w:rsidRPr="00CE28BB" w:rsidRDefault="0095176A" w:rsidP="00BE5945">
      <w:pPr>
        <w:rPr>
          <w:rFonts w:ascii="Arial" w:hAnsi="Arial" w:cs="Arial"/>
        </w:rPr>
      </w:pPr>
    </w:p>
    <w:sectPr w:rsidR="0095176A" w:rsidRPr="00CE28BB" w:rsidSect="008B06C3">
      <w:headerReference w:type="even" r:id="rId13"/>
      <w:headerReference w:type="default" r:id="rId14"/>
      <w:footerReference w:type="default" r:id="rId15"/>
      <w:headerReference w:type="first" r:id="rId16"/>
      <w:footerReference w:type="first" r:id="rId17"/>
      <w:pgSz w:w="12240" w:h="15840" w:code="1"/>
      <w:pgMar w:top="1440" w:right="1440" w:bottom="1440" w:left="1440" w:header="4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912B5" w14:textId="77777777" w:rsidR="009E3E22" w:rsidRDefault="009E3E22">
      <w:r>
        <w:separator/>
      </w:r>
    </w:p>
  </w:endnote>
  <w:endnote w:type="continuationSeparator" w:id="0">
    <w:p w14:paraId="77B949C1" w14:textId="77777777" w:rsidR="009E3E22" w:rsidRDefault="009E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Corbel"/>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1870F" w14:textId="77777777" w:rsidR="00C570AF" w:rsidRPr="004C765D" w:rsidRDefault="00C570AF" w:rsidP="004C765D">
    <w:pPr>
      <w:pStyle w:val="Footer"/>
    </w:pPr>
    <w:r w:rsidRPr="004C765D">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803FF" w14:textId="77777777" w:rsidR="00C570AF" w:rsidRDefault="00C570AF" w:rsidP="00E11437">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C8D81" w14:textId="77777777" w:rsidR="009E3E22" w:rsidRDefault="009E3E22">
      <w:r>
        <w:separator/>
      </w:r>
    </w:p>
  </w:footnote>
  <w:footnote w:type="continuationSeparator" w:id="0">
    <w:p w14:paraId="2745BFE5" w14:textId="77777777" w:rsidR="009E3E22" w:rsidRDefault="009E3E22">
      <w:r>
        <w:continuationSeparator/>
      </w:r>
    </w:p>
  </w:footnote>
  <w:footnote w:id="1">
    <w:p w14:paraId="0CB2361A" w14:textId="1C345B2C" w:rsidR="00134A0B" w:rsidRPr="00134A0B" w:rsidRDefault="00134A0B">
      <w:pPr>
        <w:pStyle w:val="FootnoteText"/>
        <w:rPr>
          <w:rFonts w:ascii="Arial" w:hAnsi="Arial" w:cs="Arial"/>
          <w:sz w:val="18"/>
          <w:szCs w:val="18"/>
        </w:rPr>
      </w:pPr>
      <w:r w:rsidRPr="00134A0B">
        <w:rPr>
          <w:rStyle w:val="FootnoteReference"/>
          <w:rFonts w:ascii="Arial" w:hAnsi="Arial" w:cs="Arial"/>
          <w:sz w:val="18"/>
          <w:szCs w:val="18"/>
        </w:rPr>
        <w:footnoteRef/>
      </w:r>
      <w:r w:rsidRPr="00134A0B">
        <w:rPr>
          <w:rFonts w:ascii="Arial" w:hAnsi="Arial" w:cs="Arial"/>
          <w:sz w:val="18"/>
          <w:szCs w:val="18"/>
        </w:rPr>
        <w:t xml:space="preserve"> </w:t>
      </w:r>
      <w:hyperlink r:id="rId1" w:history="1">
        <w:r w:rsidRPr="00134A0B">
          <w:rPr>
            <w:rStyle w:val="Hyperlink"/>
            <w:rFonts w:ascii="Arial" w:hAnsi="Arial" w:cs="Arial"/>
            <w:sz w:val="18"/>
            <w:szCs w:val="18"/>
          </w:rPr>
          <w:t>https://www.healthcare.gov/glossary/medically-necessary/</w:t>
        </w:r>
      </w:hyperlink>
      <w:r w:rsidRPr="00134A0B">
        <w:rPr>
          <w:rFonts w:ascii="Arial" w:hAnsi="Arial" w:cs="Arial"/>
          <w:sz w:val="18"/>
          <w:szCs w:val="18"/>
        </w:rPr>
        <w:t xml:space="preserve"> </w:t>
      </w:r>
    </w:p>
  </w:footnote>
  <w:footnote w:id="2">
    <w:p w14:paraId="21E8050C" w14:textId="77777777" w:rsidR="00134A0B" w:rsidRPr="00134A0B" w:rsidRDefault="00134A0B" w:rsidP="00134A0B">
      <w:pPr>
        <w:rPr>
          <w:rFonts w:ascii="Arial" w:eastAsiaTheme="minorHAnsi" w:hAnsi="Arial" w:cs="Arial"/>
          <w:sz w:val="18"/>
          <w:szCs w:val="18"/>
        </w:rPr>
      </w:pPr>
      <w:r w:rsidRPr="00134A0B">
        <w:rPr>
          <w:rStyle w:val="FootnoteReference"/>
          <w:rFonts w:ascii="Arial" w:hAnsi="Arial" w:cs="Arial"/>
          <w:sz w:val="18"/>
          <w:szCs w:val="18"/>
        </w:rPr>
        <w:footnoteRef/>
      </w:r>
      <w:r w:rsidRPr="00134A0B">
        <w:rPr>
          <w:rFonts w:ascii="Arial" w:hAnsi="Arial" w:cs="Arial"/>
          <w:sz w:val="18"/>
          <w:szCs w:val="18"/>
        </w:rPr>
        <w:t xml:space="preserve"> </w:t>
      </w:r>
      <w:r w:rsidRPr="00134A0B">
        <w:rPr>
          <w:rFonts w:ascii="Arial" w:eastAsiaTheme="minorHAnsi" w:hAnsi="Arial" w:cs="Arial"/>
          <w:sz w:val="18"/>
          <w:szCs w:val="18"/>
        </w:rPr>
        <w:t>42 CFR § 410.20</w:t>
      </w:r>
    </w:p>
    <w:p w14:paraId="413DB43D" w14:textId="5D16710E" w:rsidR="00134A0B" w:rsidRDefault="00134A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76D5" w14:textId="77777777" w:rsidR="00C570AF" w:rsidRDefault="00C570AF">
    <w:pPr>
      <w:pStyle w:val="Header"/>
    </w:pPr>
    <w:r>
      <w:t xml:space="preserve">James Cain                                                                                                                        </w:t>
    </w:r>
    <w:smartTag w:uri="urn:schemas-microsoft-com:office:smarttags" w:element="date">
      <w:smartTagPr>
        <w:attr w:name="Year" w:val="2006"/>
        <w:attr w:name="Day" w:val="28"/>
        <w:attr w:name="Month" w:val="2"/>
      </w:smartTagPr>
      <w:r>
        <w:t>February 28, 2006</w:t>
      </w:r>
    </w:smartTag>
    <w:r>
      <w:t xml:space="preserve">                                                                       </w:t>
    </w:r>
  </w:p>
  <w:p w14:paraId="4B47A158" w14:textId="77777777" w:rsidR="00C570AF" w:rsidRDefault="00C570AF">
    <w:pPr>
      <w:pStyle w:val="Header"/>
    </w:pPr>
    <w:r>
      <w:t>Page 2                                                                                                                                  Ref. S-2006-212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B56A1" w14:textId="537EB0FC" w:rsidR="00C570AF" w:rsidRPr="00F215EC" w:rsidRDefault="0065781D" w:rsidP="005E05CA">
    <w:pPr>
      <w:pStyle w:val="Header"/>
      <w:tabs>
        <w:tab w:val="clear" w:pos="4320"/>
        <w:tab w:val="clear" w:pos="8640"/>
        <w:tab w:val="right" w:pos="9360"/>
      </w:tabs>
      <w:rPr>
        <w:szCs w:val="20"/>
      </w:rPr>
    </w:pPr>
    <w:r>
      <w:rPr>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tblBorders>
      <w:tblLook w:val="0420" w:firstRow="1" w:lastRow="0" w:firstColumn="0" w:lastColumn="0" w:noHBand="0" w:noVBand="1"/>
    </w:tblPr>
    <w:tblGrid>
      <w:gridCol w:w="2160"/>
      <w:gridCol w:w="5040"/>
      <w:gridCol w:w="2160"/>
    </w:tblGrid>
    <w:tr w:rsidR="00A14497" w:rsidRPr="00B51C0C" w14:paraId="4234280B" w14:textId="77777777" w:rsidTr="0018045D">
      <w:trPr>
        <w:trHeight w:val="1890"/>
        <w:jc w:val="center"/>
      </w:trPr>
      <w:tc>
        <w:tcPr>
          <w:tcW w:w="2160" w:type="dxa"/>
          <w:tcBorders>
            <w:bottom w:val="single" w:sz="4" w:space="0" w:color="auto"/>
          </w:tcBorders>
          <w:shd w:val="clear" w:color="auto" w:fill="auto"/>
        </w:tcPr>
        <w:p w14:paraId="64F3461F"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8240" behindDoc="1" locked="0" layoutInCell="1" allowOverlap="1" wp14:anchorId="18CF08C5" wp14:editId="59902456">
                <wp:simplePos x="0" y="0"/>
                <wp:positionH relativeFrom="margin">
                  <wp:posOffset>188595</wp:posOffset>
                </wp:positionH>
                <wp:positionV relativeFrom="margin">
                  <wp:posOffset>19050</wp:posOffset>
                </wp:positionV>
                <wp:extent cx="876300" cy="1061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617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40" w:type="dxa"/>
          <w:tcBorders>
            <w:bottom w:val="single" w:sz="4" w:space="0" w:color="auto"/>
          </w:tcBorders>
          <w:shd w:val="clear" w:color="auto" w:fill="auto"/>
          <w:vAlign w:val="center"/>
        </w:tcPr>
        <w:p w14:paraId="63D61111" w14:textId="38DD287E" w:rsidR="00A14497" w:rsidRPr="00D05CBB" w:rsidRDefault="00405DF4" w:rsidP="00D05CBB">
          <w:pPr>
            <w:pStyle w:val="Footer"/>
            <w:jc w:val="center"/>
            <w:rPr>
              <w:rFonts w:eastAsia="Calibri"/>
            </w:rPr>
          </w:pPr>
          <w:r>
            <w:rPr>
              <w:rFonts w:eastAsia="Calibri"/>
            </w:rPr>
            <w:t>122 W 25</w:t>
          </w:r>
          <w:r w:rsidRPr="00405DF4">
            <w:rPr>
              <w:rFonts w:eastAsia="Calibri"/>
              <w:vertAlign w:val="superscript"/>
            </w:rPr>
            <w:t>th</w:t>
          </w:r>
          <w:r>
            <w:rPr>
              <w:rFonts w:eastAsia="Calibri"/>
            </w:rPr>
            <w:t xml:space="preserve"> St., 4</w:t>
          </w:r>
          <w:r w:rsidRPr="00405DF4">
            <w:rPr>
              <w:rFonts w:eastAsia="Calibri"/>
              <w:vertAlign w:val="superscript"/>
            </w:rPr>
            <w:t>th</w:t>
          </w:r>
          <w:r>
            <w:rPr>
              <w:rFonts w:eastAsia="Calibri"/>
            </w:rPr>
            <w:t xml:space="preserve"> West</w:t>
          </w:r>
          <w:r w:rsidR="00A14497" w:rsidRPr="00D05CBB">
            <w:rPr>
              <w:rFonts w:eastAsia="Calibri"/>
            </w:rPr>
            <w:t xml:space="preserve"> • Cheyenne, WY 82002</w:t>
          </w:r>
        </w:p>
        <w:p w14:paraId="2659920B" w14:textId="6DAB45F3" w:rsidR="00A14497" w:rsidRPr="00D05CBB" w:rsidRDefault="00405DF4" w:rsidP="00D05CBB">
          <w:pPr>
            <w:pStyle w:val="Footer"/>
            <w:jc w:val="center"/>
            <w:rPr>
              <w:rFonts w:eastAsia="Calibri"/>
            </w:rPr>
          </w:pPr>
          <w:r>
            <w:rPr>
              <w:rFonts w:eastAsia="Calibri"/>
            </w:rPr>
            <w:t>Phone (307) 777-7531</w:t>
          </w:r>
          <w:r w:rsidR="00A14497" w:rsidRPr="00D05CBB">
            <w:rPr>
              <w:rFonts w:eastAsia="Calibri"/>
            </w:rPr>
            <w:t xml:space="preserve"> • 1-866-571-0944</w:t>
          </w:r>
        </w:p>
        <w:p w14:paraId="554473CE" w14:textId="572552DD" w:rsidR="00A14497" w:rsidRPr="00D05CBB" w:rsidRDefault="00405DF4" w:rsidP="00D05CBB">
          <w:pPr>
            <w:pStyle w:val="Header"/>
            <w:jc w:val="center"/>
            <w:rPr>
              <w:rFonts w:ascii="Calibri" w:eastAsia="Calibri" w:hAnsi="Calibri"/>
              <w:sz w:val="22"/>
              <w:szCs w:val="22"/>
            </w:rPr>
          </w:pPr>
          <w:r>
            <w:rPr>
              <w:rFonts w:eastAsia="Calibri"/>
            </w:rPr>
            <w:t>Fax (307) 777-6964</w:t>
          </w:r>
          <w:r w:rsidR="00A14497" w:rsidRPr="00D05CBB">
            <w:rPr>
              <w:rFonts w:eastAsia="Calibri"/>
            </w:rPr>
            <w:t xml:space="preserve"> • www.health.wyo.gov</w:t>
          </w:r>
        </w:p>
      </w:tc>
      <w:tc>
        <w:tcPr>
          <w:tcW w:w="2160" w:type="dxa"/>
          <w:tcBorders>
            <w:bottom w:val="single" w:sz="4" w:space="0" w:color="auto"/>
          </w:tcBorders>
          <w:shd w:val="clear" w:color="auto" w:fill="auto"/>
        </w:tcPr>
        <w:p w14:paraId="3E1B8E70" w14:textId="77777777" w:rsidR="00A14497" w:rsidRPr="00D05CBB" w:rsidRDefault="000739E0" w:rsidP="00D05CBB">
          <w:pPr>
            <w:pStyle w:val="Header"/>
            <w:jc w:val="center"/>
            <w:rPr>
              <w:rFonts w:ascii="Calibri" w:eastAsia="Calibri" w:hAnsi="Calibri"/>
              <w:sz w:val="22"/>
              <w:szCs w:val="22"/>
            </w:rPr>
          </w:pPr>
          <w:r w:rsidRPr="00D05CBB">
            <w:rPr>
              <w:rFonts w:ascii="Calibri" w:eastAsia="Calibri" w:hAnsi="Calibri"/>
              <w:noProof/>
              <w:sz w:val="22"/>
              <w:szCs w:val="22"/>
            </w:rPr>
            <w:drawing>
              <wp:anchor distT="0" distB="0" distL="114300" distR="114300" simplePos="0" relativeHeight="251657216" behindDoc="1" locked="0" layoutInCell="1" allowOverlap="1" wp14:anchorId="09CEEEFB" wp14:editId="62B2D0B3">
                <wp:simplePos x="0" y="0"/>
                <wp:positionH relativeFrom="margin">
                  <wp:posOffset>130175</wp:posOffset>
                </wp:positionH>
                <wp:positionV relativeFrom="paragraph">
                  <wp:posOffset>97790</wp:posOffset>
                </wp:positionV>
                <wp:extent cx="96012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4497" w:rsidRPr="00B51C0C" w14:paraId="7C17EE91" w14:textId="77777777" w:rsidTr="0018045D">
      <w:trPr>
        <w:trHeight w:val="540"/>
        <w:jc w:val="center"/>
      </w:trPr>
      <w:tc>
        <w:tcPr>
          <w:tcW w:w="2160" w:type="dxa"/>
          <w:tcBorders>
            <w:top w:val="single" w:sz="4" w:space="0" w:color="auto"/>
            <w:bottom w:val="single" w:sz="4" w:space="0" w:color="auto"/>
          </w:tcBorders>
          <w:shd w:val="clear" w:color="auto" w:fill="auto"/>
        </w:tcPr>
        <w:p w14:paraId="65F1012A" w14:textId="77777777" w:rsidR="00A14497" w:rsidRPr="00D05CBB" w:rsidRDefault="00585753" w:rsidP="00D05CBB">
          <w:pPr>
            <w:pStyle w:val="Header"/>
            <w:jc w:val="center"/>
            <w:rPr>
              <w:rFonts w:eastAsia="Calibri"/>
              <w:color w:val="7B7B7B"/>
              <w:sz w:val="22"/>
              <w:szCs w:val="22"/>
            </w:rPr>
          </w:pPr>
          <w:r>
            <w:rPr>
              <w:rFonts w:eastAsia="Calibri"/>
              <w:sz w:val="22"/>
              <w:szCs w:val="22"/>
            </w:rPr>
            <w:t>Stefan Johansson</w:t>
          </w:r>
          <w:r w:rsidR="00A14497" w:rsidRPr="00D05CBB">
            <w:rPr>
              <w:rFonts w:eastAsia="Calibri"/>
              <w:sz w:val="22"/>
              <w:szCs w:val="22"/>
            </w:rPr>
            <w:t xml:space="preserve"> </w:t>
          </w:r>
          <w:r w:rsidR="00E12B1D">
            <w:rPr>
              <w:rFonts w:eastAsia="Calibri"/>
              <w:sz w:val="22"/>
              <w:szCs w:val="22"/>
            </w:rPr>
            <w:t>Director</w:t>
          </w:r>
        </w:p>
      </w:tc>
      <w:tc>
        <w:tcPr>
          <w:tcW w:w="5040" w:type="dxa"/>
          <w:tcBorders>
            <w:top w:val="single" w:sz="4" w:space="0" w:color="auto"/>
            <w:bottom w:val="single" w:sz="4" w:space="0" w:color="auto"/>
          </w:tcBorders>
          <w:shd w:val="clear" w:color="auto" w:fill="auto"/>
          <w:vAlign w:val="center"/>
        </w:tcPr>
        <w:p w14:paraId="69C699EC" w14:textId="77777777" w:rsidR="00A14497" w:rsidRPr="00D05CBB" w:rsidRDefault="00A14497" w:rsidP="00D05CBB">
          <w:pPr>
            <w:pStyle w:val="Header"/>
            <w:jc w:val="center"/>
            <w:rPr>
              <w:rFonts w:ascii="Franklin Gothic Book" w:eastAsia="Calibri" w:hAnsi="Franklin Gothic Book"/>
              <w:sz w:val="20"/>
              <w:szCs w:val="20"/>
            </w:rPr>
          </w:pPr>
        </w:p>
      </w:tc>
      <w:tc>
        <w:tcPr>
          <w:tcW w:w="2160" w:type="dxa"/>
          <w:tcBorders>
            <w:top w:val="single" w:sz="4" w:space="0" w:color="auto"/>
            <w:bottom w:val="single" w:sz="4" w:space="0" w:color="auto"/>
          </w:tcBorders>
          <w:shd w:val="clear" w:color="auto" w:fill="auto"/>
        </w:tcPr>
        <w:p w14:paraId="030BE1A2" w14:textId="77777777" w:rsidR="00A14497" w:rsidRPr="00D05CBB" w:rsidRDefault="006F4ABD" w:rsidP="00D05CBB">
          <w:pPr>
            <w:pStyle w:val="Header"/>
            <w:jc w:val="center"/>
            <w:rPr>
              <w:rFonts w:eastAsia="Calibri"/>
              <w:sz w:val="22"/>
              <w:szCs w:val="22"/>
            </w:rPr>
          </w:pPr>
          <w:r>
            <w:rPr>
              <w:rFonts w:eastAsia="Calibri"/>
              <w:sz w:val="22"/>
              <w:szCs w:val="22"/>
            </w:rPr>
            <w:t>Mark Gordon</w:t>
          </w:r>
        </w:p>
        <w:p w14:paraId="79DBB0BB" w14:textId="77777777" w:rsidR="00A14497" w:rsidRPr="00D05CBB" w:rsidRDefault="00A14497" w:rsidP="00D05CBB">
          <w:pPr>
            <w:pStyle w:val="Header"/>
            <w:jc w:val="center"/>
            <w:rPr>
              <w:rFonts w:ascii="Franklin Gothic Book" w:eastAsia="Calibri" w:hAnsi="Franklin Gothic Book"/>
              <w:sz w:val="20"/>
              <w:szCs w:val="20"/>
            </w:rPr>
          </w:pPr>
          <w:r w:rsidRPr="00D05CBB">
            <w:rPr>
              <w:rFonts w:eastAsia="Calibri"/>
              <w:sz w:val="22"/>
              <w:szCs w:val="22"/>
            </w:rPr>
            <w:t>Governor</w:t>
          </w:r>
        </w:p>
      </w:tc>
    </w:tr>
  </w:tbl>
  <w:p w14:paraId="3D283287" w14:textId="77777777" w:rsidR="00C570AF" w:rsidRPr="00A14497" w:rsidRDefault="00C570AF" w:rsidP="00A14497">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2B0"/>
    <w:multiLevelType w:val="hybridMultilevel"/>
    <w:tmpl w:val="FBE2909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075332EC"/>
    <w:multiLevelType w:val="hybridMultilevel"/>
    <w:tmpl w:val="663C97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11F74"/>
    <w:multiLevelType w:val="hybridMultilevel"/>
    <w:tmpl w:val="A5123C9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2F1A34"/>
    <w:multiLevelType w:val="hybridMultilevel"/>
    <w:tmpl w:val="C8529716"/>
    <w:lvl w:ilvl="0" w:tplc="FF6ED5D4">
      <w:start w:val="1"/>
      <w:numFmt w:val="upp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116804EB"/>
    <w:multiLevelType w:val="hybridMultilevel"/>
    <w:tmpl w:val="CEF0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45056"/>
    <w:multiLevelType w:val="hybridMultilevel"/>
    <w:tmpl w:val="149640B4"/>
    <w:lvl w:ilvl="0" w:tplc="FA8A37D4">
      <w:start w:val="1"/>
      <w:numFmt w:val="upp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15:restartNumberingAfterBreak="0">
    <w:nsid w:val="13B00855"/>
    <w:multiLevelType w:val="hybridMultilevel"/>
    <w:tmpl w:val="8D5C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E1C23"/>
    <w:multiLevelType w:val="hybridMultilevel"/>
    <w:tmpl w:val="87AC6D04"/>
    <w:lvl w:ilvl="0" w:tplc="4D286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0348DF"/>
    <w:multiLevelType w:val="hybridMultilevel"/>
    <w:tmpl w:val="94343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15706"/>
    <w:multiLevelType w:val="hybridMultilevel"/>
    <w:tmpl w:val="83AA8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04EBD"/>
    <w:multiLevelType w:val="hybridMultilevel"/>
    <w:tmpl w:val="EF5E7DE0"/>
    <w:lvl w:ilvl="0" w:tplc="04090005">
      <w:start w:val="1"/>
      <w:numFmt w:val="bullet"/>
      <w:lvlText w:val=""/>
      <w:lvlJc w:val="left"/>
      <w:pPr>
        <w:ind w:left="1354" w:hanging="360"/>
      </w:pPr>
      <w:rPr>
        <w:rFonts w:ascii="Wingdings" w:hAnsi="Wingdings" w:hint="default"/>
      </w:rPr>
    </w:lvl>
    <w:lvl w:ilvl="1" w:tplc="04090003">
      <w:start w:val="1"/>
      <w:numFmt w:val="bullet"/>
      <w:lvlText w:val="o"/>
      <w:lvlJc w:val="left"/>
      <w:pPr>
        <w:ind w:left="2074" w:hanging="360"/>
      </w:pPr>
      <w:rPr>
        <w:rFonts w:ascii="Courier New" w:hAnsi="Courier New" w:cs="Courier New" w:hint="default"/>
      </w:rPr>
    </w:lvl>
    <w:lvl w:ilvl="2" w:tplc="04090005">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1" w15:restartNumberingAfterBreak="0">
    <w:nsid w:val="44C21333"/>
    <w:multiLevelType w:val="hybridMultilevel"/>
    <w:tmpl w:val="7D3E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6805B8E"/>
    <w:multiLevelType w:val="hybridMultilevel"/>
    <w:tmpl w:val="6228EC52"/>
    <w:lvl w:ilvl="0" w:tplc="2B746760">
      <w:start w:val="1"/>
      <w:numFmt w:val="upperRoman"/>
      <w:lvlText w:val="%1)"/>
      <w:lvlJc w:val="left"/>
      <w:pPr>
        <w:ind w:left="1900" w:hanging="72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4B833571"/>
    <w:multiLevelType w:val="hybridMultilevel"/>
    <w:tmpl w:val="B2A637F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4AA4130"/>
    <w:multiLevelType w:val="hybridMultilevel"/>
    <w:tmpl w:val="43D2500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3A3D8C"/>
    <w:multiLevelType w:val="hybridMultilevel"/>
    <w:tmpl w:val="249E29BE"/>
    <w:lvl w:ilvl="0" w:tplc="DDE676B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C80708C"/>
    <w:multiLevelType w:val="hybridMultilevel"/>
    <w:tmpl w:val="D37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E347A"/>
    <w:multiLevelType w:val="hybridMultilevel"/>
    <w:tmpl w:val="B542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06F08"/>
    <w:multiLevelType w:val="hybridMultilevel"/>
    <w:tmpl w:val="8454F6A4"/>
    <w:lvl w:ilvl="0" w:tplc="AB08D1B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61583E77"/>
    <w:multiLevelType w:val="hybridMultilevel"/>
    <w:tmpl w:val="704EE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EA16E8"/>
    <w:multiLevelType w:val="hybridMultilevel"/>
    <w:tmpl w:val="EF5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B5CAF"/>
    <w:multiLevelType w:val="hybridMultilevel"/>
    <w:tmpl w:val="0E36A466"/>
    <w:lvl w:ilvl="0" w:tplc="556ECB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E5E04"/>
    <w:multiLevelType w:val="hybridMultilevel"/>
    <w:tmpl w:val="E4CA99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13841AD"/>
    <w:multiLevelType w:val="hybridMultilevel"/>
    <w:tmpl w:val="BB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31223"/>
    <w:multiLevelType w:val="hybridMultilevel"/>
    <w:tmpl w:val="E0663A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D9B7427"/>
    <w:multiLevelType w:val="hybridMultilevel"/>
    <w:tmpl w:val="AA4E1D0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0"/>
  </w:num>
  <w:num w:numId="3">
    <w:abstractNumId w:val="7"/>
  </w:num>
  <w:num w:numId="4">
    <w:abstractNumId w:val="14"/>
  </w:num>
  <w:num w:numId="5">
    <w:abstractNumId w:val="23"/>
  </w:num>
  <w:num w:numId="6">
    <w:abstractNumId w:val="2"/>
  </w:num>
  <w:num w:numId="7">
    <w:abstractNumId w:val="22"/>
  </w:num>
  <w:num w:numId="8">
    <w:abstractNumId w:val="21"/>
  </w:num>
  <w:num w:numId="9">
    <w:abstractNumId w:val="6"/>
  </w:num>
  <w:num w:numId="10">
    <w:abstractNumId w:val="9"/>
  </w:num>
  <w:num w:numId="11">
    <w:abstractNumId w:val="4"/>
  </w:num>
  <w:num w:numId="12">
    <w:abstractNumId w:val="17"/>
  </w:num>
  <w:num w:numId="13">
    <w:abstractNumId w:val="8"/>
  </w:num>
  <w:num w:numId="14">
    <w:abstractNumId w:val="13"/>
  </w:num>
  <w:num w:numId="15">
    <w:abstractNumId w:val="24"/>
  </w:num>
  <w:num w:numId="16">
    <w:abstractNumId w:val="25"/>
  </w:num>
  <w:num w:numId="17">
    <w:abstractNumId w:val="10"/>
  </w:num>
  <w:num w:numId="18">
    <w:abstractNumId w:val="19"/>
  </w:num>
  <w:num w:numId="19">
    <w:abstractNumId w:val="20"/>
  </w:num>
  <w:num w:numId="20">
    <w:abstractNumId w:val="11"/>
  </w:num>
  <w:num w:numId="21">
    <w:abstractNumId w:val="18"/>
  </w:num>
  <w:num w:numId="22">
    <w:abstractNumId w:val="3"/>
  </w:num>
  <w:num w:numId="23">
    <w:abstractNumId w:val="15"/>
  </w:num>
  <w:num w:numId="24">
    <w:abstractNumId w:val="12"/>
  </w:num>
  <w:num w:numId="25">
    <w:abstractNumId w:val="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2D"/>
    <w:rsid w:val="0000016D"/>
    <w:rsid w:val="000174FF"/>
    <w:rsid w:val="00023730"/>
    <w:rsid w:val="00026292"/>
    <w:rsid w:val="000279F8"/>
    <w:rsid w:val="00027A6F"/>
    <w:rsid w:val="00033797"/>
    <w:rsid w:val="00033808"/>
    <w:rsid w:val="00034388"/>
    <w:rsid w:val="00035470"/>
    <w:rsid w:val="00037EDB"/>
    <w:rsid w:val="00041A1B"/>
    <w:rsid w:val="00066F76"/>
    <w:rsid w:val="000739E0"/>
    <w:rsid w:val="0007564A"/>
    <w:rsid w:val="00077144"/>
    <w:rsid w:val="000857E1"/>
    <w:rsid w:val="00087367"/>
    <w:rsid w:val="0009725A"/>
    <w:rsid w:val="00097843"/>
    <w:rsid w:val="000A5BB9"/>
    <w:rsid w:val="000C0279"/>
    <w:rsid w:val="000E0C62"/>
    <w:rsid w:val="000E1A3E"/>
    <w:rsid w:val="000E7DCE"/>
    <w:rsid w:val="00106F33"/>
    <w:rsid w:val="00112D52"/>
    <w:rsid w:val="001148BE"/>
    <w:rsid w:val="00134A0B"/>
    <w:rsid w:val="001353B7"/>
    <w:rsid w:val="0015004D"/>
    <w:rsid w:val="00151098"/>
    <w:rsid w:val="0018045D"/>
    <w:rsid w:val="001831BA"/>
    <w:rsid w:val="00191BEC"/>
    <w:rsid w:val="001975F1"/>
    <w:rsid w:val="001A0272"/>
    <w:rsid w:val="001A09ED"/>
    <w:rsid w:val="001A4C34"/>
    <w:rsid w:val="001B47C2"/>
    <w:rsid w:val="001B7FD8"/>
    <w:rsid w:val="001F2D60"/>
    <w:rsid w:val="001F498C"/>
    <w:rsid w:val="002054AF"/>
    <w:rsid w:val="002079AE"/>
    <w:rsid w:val="00217692"/>
    <w:rsid w:val="00220026"/>
    <w:rsid w:val="0023136E"/>
    <w:rsid w:val="002341A1"/>
    <w:rsid w:val="00237A21"/>
    <w:rsid w:val="0024470D"/>
    <w:rsid w:val="00264B68"/>
    <w:rsid w:val="002814A7"/>
    <w:rsid w:val="00293B66"/>
    <w:rsid w:val="002A606B"/>
    <w:rsid w:val="002C109C"/>
    <w:rsid w:val="002C30CC"/>
    <w:rsid w:val="002C48EC"/>
    <w:rsid w:val="002D01C6"/>
    <w:rsid w:val="002D6D94"/>
    <w:rsid w:val="002E4CD2"/>
    <w:rsid w:val="00314EC0"/>
    <w:rsid w:val="003323E4"/>
    <w:rsid w:val="00363FB7"/>
    <w:rsid w:val="00364EFA"/>
    <w:rsid w:val="0038297E"/>
    <w:rsid w:val="00385654"/>
    <w:rsid w:val="003C1CE4"/>
    <w:rsid w:val="003E6BD2"/>
    <w:rsid w:val="00405DF4"/>
    <w:rsid w:val="00413257"/>
    <w:rsid w:val="00416779"/>
    <w:rsid w:val="00431CBB"/>
    <w:rsid w:val="00455208"/>
    <w:rsid w:val="004553D5"/>
    <w:rsid w:val="004703DD"/>
    <w:rsid w:val="0048102F"/>
    <w:rsid w:val="00486D8C"/>
    <w:rsid w:val="004931FF"/>
    <w:rsid w:val="004B1063"/>
    <w:rsid w:val="004B3FF9"/>
    <w:rsid w:val="004B6A8E"/>
    <w:rsid w:val="004C765D"/>
    <w:rsid w:val="004E5759"/>
    <w:rsid w:val="004F0E96"/>
    <w:rsid w:val="004F1704"/>
    <w:rsid w:val="004F1C60"/>
    <w:rsid w:val="004F1FEE"/>
    <w:rsid w:val="0050656C"/>
    <w:rsid w:val="00526E17"/>
    <w:rsid w:val="0055408F"/>
    <w:rsid w:val="0055476C"/>
    <w:rsid w:val="00556A45"/>
    <w:rsid w:val="00560C46"/>
    <w:rsid w:val="0056528F"/>
    <w:rsid w:val="00565398"/>
    <w:rsid w:val="00585753"/>
    <w:rsid w:val="00586651"/>
    <w:rsid w:val="005972A5"/>
    <w:rsid w:val="005A59E5"/>
    <w:rsid w:val="005D3E07"/>
    <w:rsid w:val="005E05CA"/>
    <w:rsid w:val="005E6E64"/>
    <w:rsid w:val="005F218E"/>
    <w:rsid w:val="005F4606"/>
    <w:rsid w:val="005F6DC5"/>
    <w:rsid w:val="00605CB1"/>
    <w:rsid w:val="006128BE"/>
    <w:rsid w:val="00620CCF"/>
    <w:rsid w:val="00634DC7"/>
    <w:rsid w:val="00635BA2"/>
    <w:rsid w:val="00650B69"/>
    <w:rsid w:val="00655C7B"/>
    <w:rsid w:val="0065781D"/>
    <w:rsid w:val="0066308B"/>
    <w:rsid w:val="00665660"/>
    <w:rsid w:val="0067353D"/>
    <w:rsid w:val="00676B18"/>
    <w:rsid w:val="006A4934"/>
    <w:rsid w:val="006B23D5"/>
    <w:rsid w:val="006B29AE"/>
    <w:rsid w:val="006B7366"/>
    <w:rsid w:val="006C7E71"/>
    <w:rsid w:val="006E3EBC"/>
    <w:rsid w:val="006E4184"/>
    <w:rsid w:val="006F0962"/>
    <w:rsid w:val="006F17D7"/>
    <w:rsid w:val="006F4ABD"/>
    <w:rsid w:val="006F750F"/>
    <w:rsid w:val="00706389"/>
    <w:rsid w:val="0071520C"/>
    <w:rsid w:val="00717D25"/>
    <w:rsid w:val="0072311E"/>
    <w:rsid w:val="0073178A"/>
    <w:rsid w:val="0073210E"/>
    <w:rsid w:val="00733252"/>
    <w:rsid w:val="00744EF1"/>
    <w:rsid w:val="00750775"/>
    <w:rsid w:val="00750BA0"/>
    <w:rsid w:val="00751E42"/>
    <w:rsid w:val="00764C70"/>
    <w:rsid w:val="007665F3"/>
    <w:rsid w:val="00775B9A"/>
    <w:rsid w:val="007857FB"/>
    <w:rsid w:val="00790CDD"/>
    <w:rsid w:val="007A1168"/>
    <w:rsid w:val="007A62AF"/>
    <w:rsid w:val="007C0A78"/>
    <w:rsid w:val="007C5885"/>
    <w:rsid w:val="007C638D"/>
    <w:rsid w:val="007D2EE3"/>
    <w:rsid w:val="007D7A2D"/>
    <w:rsid w:val="007E386C"/>
    <w:rsid w:val="007F4250"/>
    <w:rsid w:val="007F55AF"/>
    <w:rsid w:val="00802086"/>
    <w:rsid w:val="00821CF2"/>
    <w:rsid w:val="008413A1"/>
    <w:rsid w:val="00842A43"/>
    <w:rsid w:val="008542B1"/>
    <w:rsid w:val="00862699"/>
    <w:rsid w:val="00882571"/>
    <w:rsid w:val="00886366"/>
    <w:rsid w:val="008869D2"/>
    <w:rsid w:val="00890914"/>
    <w:rsid w:val="008A225D"/>
    <w:rsid w:val="008A4397"/>
    <w:rsid w:val="008A77A7"/>
    <w:rsid w:val="008B06C3"/>
    <w:rsid w:val="008B2B54"/>
    <w:rsid w:val="008C5AF4"/>
    <w:rsid w:val="008D2BCC"/>
    <w:rsid w:val="008D6E8A"/>
    <w:rsid w:val="008F4138"/>
    <w:rsid w:val="00912E3B"/>
    <w:rsid w:val="00925F4A"/>
    <w:rsid w:val="00930371"/>
    <w:rsid w:val="00931D30"/>
    <w:rsid w:val="009420F2"/>
    <w:rsid w:val="0095176A"/>
    <w:rsid w:val="00952924"/>
    <w:rsid w:val="00953080"/>
    <w:rsid w:val="00957F95"/>
    <w:rsid w:val="00971AF5"/>
    <w:rsid w:val="00973A3A"/>
    <w:rsid w:val="00993867"/>
    <w:rsid w:val="009949DC"/>
    <w:rsid w:val="009A2595"/>
    <w:rsid w:val="009A7812"/>
    <w:rsid w:val="009B032A"/>
    <w:rsid w:val="009C7E51"/>
    <w:rsid w:val="009E1D6A"/>
    <w:rsid w:val="009E3E22"/>
    <w:rsid w:val="009E5711"/>
    <w:rsid w:val="00A00D93"/>
    <w:rsid w:val="00A034A6"/>
    <w:rsid w:val="00A14497"/>
    <w:rsid w:val="00A1688C"/>
    <w:rsid w:val="00A17F9B"/>
    <w:rsid w:val="00A24F4D"/>
    <w:rsid w:val="00A325EE"/>
    <w:rsid w:val="00A32765"/>
    <w:rsid w:val="00A6269A"/>
    <w:rsid w:val="00A671D0"/>
    <w:rsid w:val="00A7242D"/>
    <w:rsid w:val="00A92210"/>
    <w:rsid w:val="00A96050"/>
    <w:rsid w:val="00AA07D3"/>
    <w:rsid w:val="00AA54A2"/>
    <w:rsid w:val="00AE44C1"/>
    <w:rsid w:val="00AE4572"/>
    <w:rsid w:val="00B02237"/>
    <w:rsid w:val="00B21AD6"/>
    <w:rsid w:val="00B242A5"/>
    <w:rsid w:val="00B30D6E"/>
    <w:rsid w:val="00B31C34"/>
    <w:rsid w:val="00B32124"/>
    <w:rsid w:val="00B33EDB"/>
    <w:rsid w:val="00B51226"/>
    <w:rsid w:val="00B64BFD"/>
    <w:rsid w:val="00B73150"/>
    <w:rsid w:val="00B76209"/>
    <w:rsid w:val="00B81E0B"/>
    <w:rsid w:val="00B82B12"/>
    <w:rsid w:val="00B91090"/>
    <w:rsid w:val="00B951FA"/>
    <w:rsid w:val="00B95E40"/>
    <w:rsid w:val="00BA11DF"/>
    <w:rsid w:val="00BB20E3"/>
    <w:rsid w:val="00BC68B5"/>
    <w:rsid w:val="00BE16DA"/>
    <w:rsid w:val="00BE36C5"/>
    <w:rsid w:val="00BE41CD"/>
    <w:rsid w:val="00BE5945"/>
    <w:rsid w:val="00BF6F64"/>
    <w:rsid w:val="00BF7709"/>
    <w:rsid w:val="00C10215"/>
    <w:rsid w:val="00C211B8"/>
    <w:rsid w:val="00C21504"/>
    <w:rsid w:val="00C30C21"/>
    <w:rsid w:val="00C35FDF"/>
    <w:rsid w:val="00C37953"/>
    <w:rsid w:val="00C43ECE"/>
    <w:rsid w:val="00C47813"/>
    <w:rsid w:val="00C570AF"/>
    <w:rsid w:val="00C61D75"/>
    <w:rsid w:val="00C6457D"/>
    <w:rsid w:val="00C7096A"/>
    <w:rsid w:val="00C71A68"/>
    <w:rsid w:val="00C71DD8"/>
    <w:rsid w:val="00C8224B"/>
    <w:rsid w:val="00C860BC"/>
    <w:rsid w:val="00C87504"/>
    <w:rsid w:val="00C977FF"/>
    <w:rsid w:val="00CA41AB"/>
    <w:rsid w:val="00CB22FC"/>
    <w:rsid w:val="00CB4099"/>
    <w:rsid w:val="00CD3D06"/>
    <w:rsid w:val="00CD51A6"/>
    <w:rsid w:val="00CE28BB"/>
    <w:rsid w:val="00D05CBB"/>
    <w:rsid w:val="00D34FF2"/>
    <w:rsid w:val="00D528E0"/>
    <w:rsid w:val="00D54C75"/>
    <w:rsid w:val="00D67BB6"/>
    <w:rsid w:val="00D77034"/>
    <w:rsid w:val="00D83AC2"/>
    <w:rsid w:val="00DA3007"/>
    <w:rsid w:val="00DA41A9"/>
    <w:rsid w:val="00DA673C"/>
    <w:rsid w:val="00DA6A3C"/>
    <w:rsid w:val="00DF00CF"/>
    <w:rsid w:val="00E013DC"/>
    <w:rsid w:val="00E11437"/>
    <w:rsid w:val="00E12B1D"/>
    <w:rsid w:val="00E15A31"/>
    <w:rsid w:val="00E22590"/>
    <w:rsid w:val="00E6087E"/>
    <w:rsid w:val="00E76279"/>
    <w:rsid w:val="00E9117F"/>
    <w:rsid w:val="00EA7F81"/>
    <w:rsid w:val="00EB3507"/>
    <w:rsid w:val="00EB4EC2"/>
    <w:rsid w:val="00EE4498"/>
    <w:rsid w:val="00EF7C0D"/>
    <w:rsid w:val="00F1180C"/>
    <w:rsid w:val="00F215EC"/>
    <w:rsid w:val="00F24E4E"/>
    <w:rsid w:val="00F33093"/>
    <w:rsid w:val="00F416BC"/>
    <w:rsid w:val="00F52DB2"/>
    <w:rsid w:val="00F74662"/>
    <w:rsid w:val="00F944E4"/>
    <w:rsid w:val="00FA3713"/>
    <w:rsid w:val="00FA6C57"/>
    <w:rsid w:val="00FA6FEF"/>
    <w:rsid w:val="00FB5A73"/>
    <w:rsid w:val="00FB7572"/>
    <w:rsid w:val="00FD3A07"/>
    <w:rsid w:val="00FD7237"/>
    <w:rsid w:val="00FF2481"/>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14:docId w14:val="0ECFB9EB"/>
  <w15:chartTrackingRefBased/>
  <w15:docId w15:val="{085345E8-1096-4AA0-B718-63771EA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8E0"/>
    <w:rPr>
      <w:sz w:val="24"/>
      <w:szCs w:val="24"/>
    </w:rPr>
  </w:style>
  <w:style w:type="paragraph" w:styleId="Heading1">
    <w:name w:val="heading 1"/>
    <w:basedOn w:val="Normal"/>
    <w:link w:val="Heading1Char"/>
    <w:uiPriority w:val="9"/>
    <w:qFormat/>
    <w:rsid w:val="003C1C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2D6D94"/>
    <w:rPr>
      <w:rFonts w:ascii="Tahoma" w:hAnsi="Tahoma" w:cs="Tahoma"/>
      <w:sz w:val="16"/>
      <w:szCs w:val="16"/>
    </w:rPr>
  </w:style>
  <w:style w:type="paragraph" w:styleId="NoSpacing">
    <w:name w:val="No Spacing"/>
    <w:basedOn w:val="Normal"/>
    <w:uiPriority w:val="1"/>
    <w:qFormat/>
    <w:rsid w:val="009E5711"/>
    <w:rPr>
      <w:rFonts w:ascii="Calibri" w:eastAsia="Calibri" w:hAnsi="Calibri"/>
      <w:sz w:val="22"/>
      <w:szCs w:val="22"/>
      <w:lang w:bidi="en-US"/>
    </w:rPr>
  </w:style>
  <w:style w:type="paragraph" w:styleId="ListParagraph">
    <w:name w:val="List Paragraph"/>
    <w:aliases w:val="Numbered Standard,Bullet Styles para,lp1,TOC style,List Paragraph - RFP,Bullet OSM,Bullet,Bullet List,FooterText,Proposal Bullet List,TOC etc.,Numbered Para 1,Dot pt,No Spacing1,List Paragraph Char Char Char,Indicator Text,List Paragraph1"/>
    <w:basedOn w:val="Normal"/>
    <w:link w:val="ListParagraphChar"/>
    <w:uiPriority w:val="34"/>
    <w:qFormat/>
    <w:rsid w:val="00FA3713"/>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A6C57"/>
    <w:rPr>
      <w:rFonts w:ascii="Consolas" w:eastAsia="Calibri" w:hAnsi="Consolas"/>
      <w:sz w:val="21"/>
      <w:szCs w:val="21"/>
    </w:rPr>
  </w:style>
  <w:style w:type="character" w:customStyle="1" w:styleId="PlainTextChar">
    <w:name w:val="Plain Text Char"/>
    <w:link w:val="PlainText"/>
    <w:uiPriority w:val="99"/>
    <w:rsid w:val="00FA6C57"/>
    <w:rPr>
      <w:rFonts w:ascii="Consolas" w:eastAsia="Calibri" w:hAnsi="Consolas"/>
      <w:sz w:val="21"/>
      <w:szCs w:val="21"/>
    </w:rPr>
  </w:style>
  <w:style w:type="paragraph" w:customStyle="1" w:styleId="Outline0011">
    <w:name w:val="Outline001_1"/>
    <w:basedOn w:val="Normal"/>
    <w:uiPriority w:val="99"/>
    <w:rsid w:val="00FA6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360"/>
    </w:pPr>
    <w:rPr>
      <w:rFonts w:ascii="Wingdings" w:hAnsi="Wingdings" w:cs="Wingdings"/>
      <w:sz w:val="20"/>
      <w:szCs w:val="20"/>
    </w:rPr>
  </w:style>
  <w:style w:type="character" w:styleId="Emphasis">
    <w:name w:val="Emphasis"/>
    <w:uiPriority w:val="20"/>
    <w:qFormat/>
    <w:rsid w:val="00C30C21"/>
    <w:rPr>
      <w:i/>
      <w:iCs/>
    </w:rPr>
  </w:style>
  <w:style w:type="character" w:customStyle="1" w:styleId="HeaderChar">
    <w:name w:val="Header Char"/>
    <w:link w:val="Header"/>
    <w:uiPriority w:val="99"/>
    <w:rsid w:val="00A14497"/>
    <w:rPr>
      <w:sz w:val="24"/>
      <w:szCs w:val="24"/>
    </w:rPr>
  </w:style>
  <w:style w:type="character" w:customStyle="1" w:styleId="FooterChar">
    <w:name w:val="Footer Char"/>
    <w:link w:val="Footer"/>
    <w:uiPriority w:val="99"/>
    <w:rsid w:val="00A14497"/>
    <w:rPr>
      <w:sz w:val="24"/>
      <w:szCs w:val="24"/>
    </w:rPr>
  </w:style>
  <w:style w:type="table" w:styleId="TableGrid">
    <w:name w:val="Table Grid"/>
    <w:basedOn w:val="TableNormal"/>
    <w:uiPriority w:val="39"/>
    <w:rsid w:val="00A144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7366"/>
    <w:pPr>
      <w:spacing w:before="100" w:beforeAutospacing="1" w:after="100" w:afterAutospacing="1"/>
    </w:pPr>
  </w:style>
  <w:style w:type="character" w:customStyle="1" w:styleId="apple-tab-span">
    <w:name w:val="apple-tab-span"/>
    <w:basedOn w:val="DefaultParagraphFont"/>
    <w:rsid w:val="00455208"/>
  </w:style>
  <w:style w:type="paragraph" w:styleId="BodyText">
    <w:name w:val="Body Text"/>
    <w:basedOn w:val="Normal"/>
    <w:link w:val="BodyTextChar"/>
    <w:uiPriority w:val="1"/>
    <w:unhideWhenUsed/>
    <w:qFormat/>
    <w:rsid w:val="00A671D0"/>
    <w:pPr>
      <w:widowControl w:val="0"/>
      <w:spacing w:before="120" w:after="120"/>
    </w:pPr>
    <w:rPr>
      <w:rFonts w:ascii="Arial" w:eastAsia="Arial" w:hAnsi="Arial" w:cstheme="minorBidi"/>
      <w:sz w:val="22"/>
      <w:szCs w:val="22"/>
    </w:rPr>
  </w:style>
  <w:style w:type="character" w:customStyle="1" w:styleId="BodyTextChar">
    <w:name w:val="Body Text Char"/>
    <w:basedOn w:val="DefaultParagraphFont"/>
    <w:link w:val="BodyText"/>
    <w:uiPriority w:val="1"/>
    <w:rsid w:val="00A671D0"/>
    <w:rPr>
      <w:rFonts w:ascii="Arial" w:eastAsia="Arial" w:hAnsi="Arial" w:cstheme="minorBidi"/>
      <w:sz w:val="22"/>
      <w:szCs w:val="22"/>
    </w:rPr>
  </w:style>
  <w:style w:type="character" w:styleId="CommentReference">
    <w:name w:val="annotation reference"/>
    <w:basedOn w:val="DefaultParagraphFont"/>
    <w:rsid w:val="00931D30"/>
    <w:rPr>
      <w:sz w:val="16"/>
      <w:szCs w:val="16"/>
    </w:rPr>
  </w:style>
  <w:style w:type="paragraph" w:styleId="CommentText">
    <w:name w:val="annotation text"/>
    <w:basedOn w:val="Normal"/>
    <w:link w:val="CommentTextChar"/>
    <w:rsid w:val="00931D30"/>
    <w:rPr>
      <w:sz w:val="20"/>
      <w:szCs w:val="20"/>
    </w:rPr>
  </w:style>
  <w:style w:type="character" w:customStyle="1" w:styleId="CommentTextChar">
    <w:name w:val="Comment Text Char"/>
    <w:basedOn w:val="DefaultParagraphFont"/>
    <w:link w:val="CommentText"/>
    <w:rsid w:val="00931D30"/>
  </w:style>
  <w:style w:type="paragraph" w:styleId="CommentSubject">
    <w:name w:val="annotation subject"/>
    <w:basedOn w:val="CommentText"/>
    <w:next w:val="CommentText"/>
    <w:link w:val="CommentSubjectChar"/>
    <w:semiHidden/>
    <w:unhideWhenUsed/>
    <w:rsid w:val="00931D30"/>
    <w:rPr>
      <w:b/>
      <w:bCs/>
    </w:rPr>
  </w:style>
  <w:style w:type="character" w:customStyle="1" w:styleId="CommentSubjectChar">
    <w:name w:val="Comment Subject Char"/>
    <w:basedOn w:val="CommentTextChar"/>
    <w:link w:val="CommentSubject"/>
    <w:semiHidden/>
    <w:rsid w:val="00931D30"/>
    <w:rPr>
      <w:b/>
      <w:bCs/>
    </w:rPr>
  </w:style>
  <w:style w:type="character" w:customStyle="1" w:styleId="UnresolvedMention">
    <w:name w:val="Unresolved Mention"/>
    <w:basedOn w:val="DefaultParagraphFont"/>
    <w:uiPriority w:val="99"/>
    <w:semiHidden/>
    <w:unhideWhenUsed/>
    <w:rsid w:val="00385654"/>
    <w:rPr>
      <w:color w:val="605E5C"/>
      <w:shd w:val="clear" w:color="auto" w:fill="E1DFDD"/>
    </w:rPr>
  </w:style>
  <w:style w:type="paragraph" w:styleId="FootnoteText">
    <w:name w:val="footnote text"/>
    <w:basedOn w:val="Normal"/>
    <w:link w:val="FootnoteTextChar"/>
    <w:uiPriority w:val="99"/>
    <w:unhideWhenUsed/>
    <w:rsid w:val="00C43EC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43ECE"/>
    <w:rPr>
      <w:rFonts w:asciiTheme="minorHAnsi" w:eastAsiaTheme="minorHAnsi" w:hAnsiTheme="minorHAnsi" w:cstheme="minorBidi"/>
    </w:rPr>
  </w:style>
  <w:style w:type="character" w:styleId="FootnoteReference">
    <w:name w:val="footnote reference"/>
    <w:basedOn w:val="DefaultParagraphFont"/>
    <w:uiPriority w:val="99"/>
    <w:unhideWhenUsed/>
    <w:rsid w:val="00C43ECE"/>
    <w:rPr>
      <w:vertAlign w:val="superscript"/>
    </w:rPr>
  </w:style>
  <w:style w:type="character" w:customStyle="1" w:styleId="ListParagraphChar">
    <w:name w:val="List Paragraph Char"/>
    <w:aliases w:val="Numbered Standard Char,Bullet Styles para Char,lp1 Char,TOC style Char,List Paragraph - RFP Char,Bullet OSM Char,Bullet Char,Bullet List Char,FooterText Char,Proposal Bullet List Char,TOC etc. Char,Numbered Para 1 Char,Dot pt Char"/>
    <w:link w:val="ListParagraph"/>
    <w:uiPriority w:val="34"/>
    <w:qFormat/>
    <w:locked/>
    <w:rsid w:val="00314EC0"/>
    <w:rPr>
      <w:rFonts w:ascii="Calibri" w:eastAsia="Calibri" w:hAnsi="Calibri"/>
      <w:sz w:val="22"/>
      <w:szCs w:val="22"/>
    </w:rPr>
  </w:style>
  <w:style w:type="character" w:customStyle="1" w:styleId="Heading1Char">
    <w:name w:val="Heading 1 Char"/>
    <w:basedOn w:val="DefaultParagraphFont"/>
    <w:link w:val="Heading1"/>
    <w:uiPriority w:val="9"/>
    <w:rsid w:val="003C1CE4"/>
    <w:rPr>
      <w:b/>
      <w:bCs/>
      <w:kern w:val="36"/>
      <w:sz w:val="48"/>
      <w:szCs w:val="48"/>
    </w:rPr>
  </w:style>
  <w:style w:type="character" w:styleId="FollowedHyperlink">
    <w:name w:val="FollowedHyperlink"/>
    <w:basedOn w:val="DefaultParagraphFont"/>
    <w:rsid w:val="008542B1"/>
    <w:rPr>
      <w:color w:val="954F72" w:themeColor="followedHyperlink"/>
      <w:u w:val="single"/>
    </w:rPr>
  </w:style>
  <w:style w:type="table" w:customStyle="1" w:styleId="TableGrid2">
    <w:name w:val="Table Grid2"/>
    <w:basedOn w:val="TableNormal"/>
    <w:next w:val="TableGrid"/>
    <w:uiPriority w:val="39"/>
    <w:rsid w:val="00952924"/>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1821">
      <w:bodyDiv w:val="1"/>
      <w:marLeft w:val="0"/>
      <w:marRight w:val="0"/>
      <w:marTop w:val="0"/>
      <w:marBottom w:val="0"/>
      <w:divBdr>
        <w:top w:val="none" w:sz="0" w:space="0" w:color="auto"/>
        <w:left w:val="none" w:sz="0" w:space="0" w:color="auto"/>
        <w:bottom w:val="none" w:sz="0" w:space="0" w:color="auto"/>
        <w:right w:val="none" w:sz="0" w:space="0" w:color="auto"/>
      </w:divBdr>
    </w:div>
    <w:div w:id="112604725">
      <w:bodyDiv w:val="1"/>
      <w:marLeft w:val="0"/>
      <w:marRight w:val="0"/>
      <w:marTop w:val="0"/>
      <w:marBottom w:val="0"/>
      <w:divBdr>
        <w:top w:val="none" w:sz="0" w:space="0" w:color="auto"/>
        <w:left w:val="none" w:sz="0" w:space="0" w:color="auto"/>
        <w:bottom w:val="none" w:sz="0" w:space="0" w:color="auto"/>
        <w:right w:val="none" w:sz="0" w:space="0" w:color="auto"/>
      </w:divBdr>
    </w:div>
    <w:div w:id="138883295">
      <w:bodyDiv w:val="1"/>
      <w:marLeft w:val="0"/>
      <w:marRight w:val="0"/>
      <w:marTop w:val="0"/>
      <w:marBottom w:val="0"/>
      <w:divBdr>
        <w:top w:val="none" w:sz="0" w:space="0" w:color="auto"/>
        <w:left w:val="none" w:sz="0" w:space="0" w:color="auto"/>
        <w:bottom w:val="none" w:sz="0" w:space="0" w:color="auto"/>
        <w:right w:val="none" w:sz="0" w:space="0" w:color="auto"/>
      </w:divBdr>
    </w:div>
    <w:div w:id="294062655">
      <w:bodyDiv w:val="1"/>
      <w:marLeft w:val="0"/>
      <w:marRight w:val="0"/>
      <w:marTop w:val="0"/>
      <w:marBottom w:val="0"/>
      <w:divBdr>
        <w:top w:val="none" w:sz="0" w:space="0" w:color="auto"/>
        <w:left w:val="none" w:sz="0" w:space="0" w:color="auto"/>
        <w:bottom w:val="none" w:sz="0" w:space="0" w:color="auto"/>
        <w:right w:val="none" w:sz="0" w:space="0" w:color="auto"/>
      </w:divBdr>
    </w:div>
    <w:div w:id="320742029">
      <w:bodyDiv w:val="1"/>
      <w:marLeft w:val="0"/>
      <w:marRight w:val="0"/>
      <w:marTop w:val="0"/>
      <w:marBottom w:val="0"/>
      <w:divBdr>
        <w:top w:val="none" w:sz="0" w:space="0" w:color="auto"/>
        <w:left w:val="none" w:sz="0" w:space="0" w:color="auto"/>
        <w:bottom w:val="none" w:sz="0" w:space="0" w:color="auto"/>
        <w:right w:val="none" w:sz="0" w:space="0" w:color="auto"/>
      </w:divBdr>
    </w:div>
    <w:div w:id="511260811">
      <w:bodyDiv w:val="1"/>
      <w:marLeft w:val="0"/>
      <w:marRight w:val="0"/>
      <w:marTop w:val="0"/>
      <w:marBottom w:val="0"/>
      <w:divBdr>
        <w:top w:val="none" w:sz="0" w:space="0" w:color="auto"/>
        <w:left w:val="none" w:sz="0" w:space="0" w:color="auto"/>
        <w:bottom w:val="none" w:sz="0" w:space="0" w:color="auto"/>
        <w:right w:val="none" w:sz="0" w:space="0" w:color="auto"/>
      </w:divBdr>
    </w:div>
    <w:div w:id="554781276">
      <w:bodyDiv w:val="1"/>
      <w:marLeft w:val="0"/>
      <w:marRight w:val="0"/>
      <w:marTop w:val="0"/>
      <w:marBottom w:val="0"/>
      <w:divBdr>
        <w:top w:val="none" w:sz="0" w:space="0" w:color="auto"/>
        <w:left w:val="none" w:sz="0" w:space="0" w:color="auto"/>
        <w:bottom w:val="none" w:sz="0" w:space="0" w:color="auto"/>
        <w:right w:val="none" w:sz="0" w:space="0" w:color="auto"/>
      </w:divBdr>
    </w:div>
    <w:div w:id="676541330">
      <w:bodyDiv w:val="1"/>
      <w:marLeft w:val="0"/>
      <w:marRight w:val="0"/>
      <w:marTop w:val="0"/>
      <w:marBottom w:val="0"/>
      <w:divBdr>
        <w:top w:val="none" w:sz="0" w:space="0" w:color="auto"/>
        <w:left w:val="none" w:sz="0" w:space="0" w:color="auto"/>
        <w:bottom w:val="none" w:sz="0" w:space="0" w:color="auto"/>
        <w:right w:val="none" w:sz="0" w:space="0" w:color="auto"/>
      </w:divBdr>
    </w:div>
    <w:div w:id="692342531">
      <w:bodyDiv w:val="1"/>
      <w:marLeft w:val="0"/>
      <w:marRight w:val="0"/>
      <w:marTop w:val="0"/>
      <w:marBottom w:val="0"/>
      <w:divBdr>
        <w:top w:val="none" w:sz="0" w:space="0" w:color="auto"/>
        <w:left w:val="none" w:sz="0" w:space="0" w:color="auto"/>
        <w:bottom w:val="none" w:sz="0" w:space="0" w:color="auto"/>
        <w:right w:val="none" w:sz="0" w:space="0" w:color="auto"/>
      </w:divBdr>
    </w:div>
    <w:div w:id="717095131">
      <w:bodyDiv w:val="1"/>
      <w:marLeft w:val="0"/>
      <w:marRight w:val="0"/>
      <w:marTop w:val="0"/>
      <w:marBottom w:val="0"/>
      <w:divBdr>
        <w:top w:val="none" w:sz="0" w:space="0" w:color="auto"/>
        <w:left w:val="none" w:sz="0" w:space="0" w:color="auto"/>
        <w:bottom w:val="none" w:sz="0" w:space="0" w:color="auto"/>
        <w:right w:val="none" w:sz="0" w:space="0" w:color="auto"/>
      </w:divBdr>
    </w:div>
    <w:div w:id="859784371">
      <w:bodyDiv w:val="1"/>
      <w:marLeft w:val="0"/>
      <w:marRight w:val="0"/>
      <w:marTop w:val="0"/>
      <w:marBottom w:val="0"/>
      <w:divBdr>
        <w:top w:val="none" w:sz="0" w:space="0" w:color="auto"/>
        <w:left w:val="none" w:sz="0" w:space="0" w:color="auto"/>
        <w:bottom w:val="none" w:sz="0" w:space="0" w:color="auto"/>
        <w:right w:val="none" w:sz="0" w:space="0" w:color="auto"/>
      </w:divBdr>
    </w:div>
    <w:div w:id="1054618040">
      <w:bodyDiv w:val="1"/>
      <w:marLeft w:val="0"/>
      <w:marRight w:val="0"/>
      <w:marTop w:val="0"/>
      <w:marBottom w:val="0"/>
      <w:divBdr>
        <w:top w:val="none" w:sz="0" w:space="0" w:color="auto"/>
        <w:left w:val="none" w:sz="0" w:space="0" w:color="auto"/>
        <w:bottom w:val="none" w:sz="0" w:space="0" w:color="auto"/>
        <w:right w:val="none" w:sz="0" w:space="0" w:color="auto"/>
      </w:divBdr>
    </w:div>
    <w:div w:id="1118792194">
      <w:bodyDiv w:val="1"/>
      <w:marLeft w:val="0"/>
      <w:marRight w:val="0"/>
      <w:marTop w:val="0"/>
      <w:marBottom w:val="0"/>
      <w:divBdr>
        <w:top w:val="none" w:sz="0" w:space="0" w:color="auto"/>
        <w:left w:val="none" w:sz="0" w:space="0" w:color="auto"/>
        <w:bottom w:val="none" w:sz="0" w:space="0" w:color="auto"/>
        <w:right w:val="none" w:sz="0" w:space="0" w:color="auto"/>
      </w:divBdr>
      <w:divsChild>
        <w:div w:id="1962496012">
          <w:marLeft w:val="0"/>
          <w:marRight w:val="0"/>
          <w:marTop w:val="0"/>
          <w:marBottom w:val="0"/>
          <w:divBdr>
            <w:top w:val="none" w:sz="0" w:space="0" w:color="auto"/>
            <w:left w:val="none" w:sz="0" w:space="0" w:color="auto"/>
            <w:bottom w:val="none" w:sz="0" w:space="0" w:color="auto"/>
            <w:right w:val="none" w:sz="0" w:space="0" w:color="auto"/>
          </w:divBdr>
        </w:div>
      </w:divsChild>
    </w:div>
    <w:div w:id="1321158437">
      <w:bodyDiv w:val="1"/>
      <w:marLeft w:val="0"/>
      <w:marRight w:val="0"/>
      <w:marTop w:val="0"/>
      <w:marBottom w:val="0"/>
      <w:divBdr>
        <w:top w:val="none" w:sz="0" w:space="0" w:color="auto"/>
        <w:left w:val="none" w:sz="0" w:space="0" w:color="auto"/>
        <w:bottom w:val="none" w:sz="0" w:space="0" w:color="auto"/>
        <w:right w:val="none" w:sz="0" w:space="0" w:color="auto"/>
      </w:divBdr>
      <w:divsChild>
        <w:div w:id="597715637">
          <w:marLeft w:val="547"/>
          <w:marRight w:val="0"/>
          <w:marTop w:val="0"/>
          <w:marBottom w:val="0"/>
          <w:divBdr>
            <w:top w:val="none" w:sz="0" w:space="0" w:color="auto"/>
            <w:left w:val="none" w:sz="0" w:space="0" w:color="auto"/>
            <w:bottom w:val="none" w:sz="0" w:space="0" w:color="auto"/>
            <w:right w:val="none" w:sz="0" w:space="0" w:color="auto"/>
          </w:divBdr>
        </w:div>
      </w:divsChild>
    </w:div>
    <w:div w:id="1415276528">
      <w:bodyDiv w:val="1"/>
      <w:marLeft w:val="0"/>
      <w:marRight w:val="0"/>
      <w:marTop w:val="0"/>
      <w:marBottom w:val="0"/>
      <w:divBdr>
        <w:top w:val="none" w:sz="0" w:space="0" w:color="auto"/>
        <w:left w:val="none" w:sz="0" w:space="0" w:color="auto"/>
        <w:bottom w:val="none" w:sz="0" w:space="0" w:color="auto"/>
        <w:right w:val="none" w:sz="0" w:space="0" w:color="auto"/>
      </w:divBdr>
    </w:div>
    <w:div w:id="1526165212">
      <w:bodyDiv w:val="1"/>
      <w:marLeft w:val="0"/>
      <w:marRight w:val="0"/>
      <w:marTop w:val="0"/>
      <w:marBottom w:val="0"/>
      <w:divBdr>
        <w:top w:val="none" w:sz="0" w:space="0" w:color="auto"/>
        <w:left w:val="none" w:sz="0" w:space="0" w:color="auto"/>
        <w:bottom w:val="none" w:sz="0" w:space="0" w:color="auto"/>
        <w:right w:val="none" w:sz="0" w:space="0" w:color="auto"/>
      </w:divBdr>
      <w:divsChild>
        <w:div w:id="1887376725">
          <w:marLeft w:val="0"/>
          <w:marRight w:val="0"/>
          <w:marTop w:val="0"/>
          <w:marBottom w:val="0"/>
          <w:divBdr>
            <w:top w:val="none" w:sz="0" w:space="0" w:color="auto"/>
            <w:left w:val="none" w:sz="0" w:space="0" w:color="auto"/>
            <w:bottom w:val="none" w:sz="0" w:space="0" w:color="auto"/>
            <w:right w:val="none" w:sz="0" w:space="0" w:color="auto"/>
          </w:divBdr>
        </w:div>
      </w:divsChild>
    </w:div>
    <w:div w:id="1567573985">
      <w:bodyDiv w:val="1"/>
      <w:marLeft w:val="0"/>
      <w:marRight w:val="0"/>
      <w:marTop w:val="0"/>
      <w:marBottom w:val="0"/>
      <w:divBdr>
        <w:top w:val="none" w:sz="0" w:space="0" w:color="auto"/>
        <w:left w:val="none" w:sz="0" w:space="0" w:color="auto"/>
        <w:bottom w:val="none" w:sz="0" w:space="0" w:color="auto"/>
        <w:right w:val="none" w:sz="0" w:space="0" w:color="auto"/>
      </w:divBdr>
    </w:div>
    <w:div w:id="1603300358">
      <w:bodyDiv w:val="1"/>
      <w:marLeft w:val="0"/>
      <w:marRight w:val="0"/>
      <w:marTop w:val="0"/>
      <w:marBottom w:val="0"/>
      <w:divBdr>
        <w:top w:val="none" w:sz="0" w:space="0" w:color="auto"/>
        <w:left w:val="none" w:sz="0" w:space="0" w:color="auto"/>
        <w:bottom w:val="none" w:sz="0" w:space="0" w:color="auto"/>
        <w:right w:val="none" w:sz="0" w:space="0" w:color="auto"/>
      </w:divBdr>
    </w:div>
    <w:div w:id="212245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yoleg.gov/Legislation/2021/SF0079"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alth.wyo.gov/healthcarefin/medicaid/school-based-servi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browning1@wy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dh-schoolbasedservices@wyo.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yoleg.gov/statutes/compress/title26.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care.gov/glossary/medically-necessar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C2CC-C3A2-4C66-92FF-3ACA6CC1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July 22, 2006</vt:lpstr>
    </vt:vector>
  </TitlesOfParts>
  <Company>WDH</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22, 2006</dc:title>
  <dc:subject/>
  <dc:creator>Barnhart Communications</dc:creator>
  <cp:keywords/>
  <cp:lastModifiedBy>Browning, Justin</cp:lastModifiedBy>
  <cp:revision>2</cp:revision>
  <cp:lastPrinted>2020-09-25T22:17:00Z</cp:lastPrinted>
  <dcterms:created xsi:type="dcterms:W3CDTF">2022-08-25T14:58:00Z</dcterms:created>
  <dcterms:modified xsi:type="dcterms:W3CDTF">2022-08-25T14:58:00Z</dcterms:modified>
</cp:coreProperties>
</file>