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E1D387" w14:textId="75189A3B" w:rsidR="00B92881" w:rsidRDefault="00B92881" w:rsidP="00286914">
      <w:pPr>
        <w:pStyle w:val="Title"/>
        <w:jc w:val="center"/>
      </w:pPr>
      <w:bookmarkStart w:id="0" w:name="_GoBack"/>
      <w:bookmarkEnd w:id="0"/>
    </w:p>
    <w:p w14:paraId="4BE1C9A3" w14:textId="22D3768E" w:rsidR="00286914" w:rsidRDefault="00286914" w:rsidP="00286914">
      <w:pPr>
        <w:pStyle w:val="Title"/>
        <w:jc w:val="center"/>
      </w:pPr>
      <w:r>
        <w:t>Opioid vulnerability Assessment</w:t>
      </w:r>
    </w:p>
    <w:p w14:paraId="2577FCCE" w14:textId="7DAE44F2" w:rsidR="00286914" w:rsidRDefault="00286914" w:rsidP="00286914">
      <w:pPr>
        <w:pStyle w:val="Title"/>
        <w:jc w:val="center"/>
      </w:pPr>
      <w:r>
        <w:t>wyoming</w:t>
      </w:r>
    </w:p>
    <w:p w14:paraId="2197F0A0" w14:textId="5CF6F594" w:rsidR="00286914" w:rsidRPr="00FF439E" w:rsidRDefault="00286914" w:rsidP="00286914">
      <w:pPr>
        <w:jc w:val="center"/>
        <w:rPr>
          <w:sz w:val="22"/>
          <w:szCs w:val="22"/>
        </w:rPr>
      </w:pPr>
    </w:p>
    <w:p w14:paraId="71F111B2" w14:textId="78B40542" w:rsidR="00286914" w:rsidRDefault="00286914" w:rsidP="00286914">
      <w:pPr>
        <w:pStyle w:val="Subtitle"/>
        <w:spacing w:after="0"/>
        <w:jc w:val="center"/>
        <w:rPr>
          <w:color w:val="auto"/>
          <w:sz w:val="22"/>
          <w:szCs w:val="22"/>
        </w:rPr>
      </w:pPr>
      <w:r w:rsidRPr="00FF439E">
        <w:rPr>
          <w:color w:val="auto"/>
          <w:sz w:val="22"/>
          <w:szCs w:val="22"/>
        </w:rPr>
        <w:t xml:space="preserve">prepared by </w:t>
      </w:r>
    </w:p>
    <w:p w14:paraId="73E41F31" w14:textId="77777777" w:rsidR="00A51B93" w:rsidRPr="000F43B3" w:rsidRDefault="00A51B93" w:rsidP="000F43B3"/>
    <w:p w14:paraId="3DB8C180" w14:textId="23113DAD" w:rsidR="00A51B93" w:rsidRPr="00FF439E" w:rsidRDefault="00A51B93" w:rsidP="00A51B93">
      <w:pPr>
        <w:pStyle w:val="Subtitle"/>
        <w:jc w:val="center"/>
        <w:rPr>
          <w:color w:val="auto"/>
          <w:sz w:val="22"/>
          <w:szCs w:val="22"/>
        </w:rPr>
      </w:pPr>
      <w:r>
        <w:rPr>
          <w:color w:val="auto"/>
          <w:sz w:val="22"/>
          <w:szCs w:val="22"/>
        </w:rPr>
        <w:t xml:space="preserve">the </w:t>
      </w:r>
      <w:r w:rsidRPr="00FF439E">
        <w:rPr>
          <w:color w:val="auto"/>
          <w:sz w:val="22"/>
          <w:szCs w:val="22"/>
        </w:rPr>
        <w:t>department of public health and community medicine</w:t>
      </w:r>
      <w:r>
        <w:rPr>
          <w:color w:val="auto"/>
          <w:sz w:val="22"/>
          <w:szCs w:val="22"/>
        </w:rPr>
        <w:t xml:space="preserve"> at the</w:t>
      </w:r>
    </w:p>
    <w:p w14:paraId="2D3AA7EB" w14:textId="6D3BAA5E" w:rsidR="00286914" w:rsidRPr="00FF439E" w:rsidRDefault="00286914" w:rsidP="00286914">
      <w:pPr>
        <w:pStyle w:val="Subtitle"/>
        <w:spacing w:after="0"/>
        <w:jc w:val="center"/>
        <w:rPr>
          <w:color w:val="auto"/>
          <w:sz w:val="22"/>
          <w:szCs w:val="22"/>
        </w:rPr>
      </w:pPr>
      <w:r w:rsidRPr="00FF439E">
        <w:rPr>
          <w:color w:val="auto"/>
          <w:sz w:val="22"/>
          <w:szCs w:val="22"/>
        </w:rPr>
        <w:t>tufts university school of medicine</w:t>
      </w:r>
    </w:p>
    <w:p w14:paraId="6DF5F2D2" w14:textId="6777CF9E" w:rsidR="00286914" w:rsidRPr="00FF439E" w:rsidRDefault="00286914" w:rsidP="00286914">
      <w:pPr>
        <w:pStyle w:val="Subtitle"/>
        <w:spacing w:after="0"/>
        <w:jc w:val="center"/>
        <w:rPr>
          <w:color w:val="auto"/>
          <w:sz w:val="22"/>
          <w:szCs w:val="22"/>
        </w:rPr>
      </w:pPr>
      <w:r w:rsidRPr="00FF439E">
        <w:rPr>
          <w:color w:val="auto"/>
          <w:sz w:val="22"/>
          <w:szCs w:val="22"/>
        </w:rPr>
        <w:t>in collaboration with</w:t>
      </w:r>
      <w:r w:rsidR="00A51B93">
        <w:rPr>
          <w:color w:val="auto"/>
          <w:sz w:val="22"/>
          <w:szCs w:val="22"/>
        </w:rPr>
        <w:t xml:space="preserve"> the</w:t>
      </w:r>
    </w:p>
    <w:p w14:paraId="4146413C" w14:textId="69BA7D0D" w:rsidR="00286914" w:rsidRPr="00FF439E" w:rsidRDefault="00286914" w:rsidP="00286914">
      <w:pPr>
        <w:pStyle w:val="Subtitle"/>
        <w:jc w:val="center"/>
        <w:rPr>
          <w:color w:val="auto"/>
          <w:sz w:val="22"/>
          <w:szCs w:val="22"/>
        </w:rPr>
      </w:pPr>
      <w:r w:rsidRPr="00FF439E">
        <w:rPr>
          <w:color w:val="auto"/>
          <w:sz w:val="22"/>
          <w:szCs w:val="22"/>
        </w:rPr>
        <w:t>wyoming department of health</w:t>
      </w:r>
    </w:p>
    <w:p w14:paraId="325C4AFE" w14:textId="19B5C200" w:rsidR="00286914" w:rsidRPr="00FF439E" w:rsidRDefault="00286914" w:rsidP="00286914">
      <w:pPr>
        <w:rPr>
          <w:sz w:val="22"/>
          <w:szCs w:val="22"/>
        </w:rPr>
      </w:pPr>
    </w:p>
    <w:p w14:paraId="6CE037AA" w14:textId="52A7FED3" w:rsidR="00286914" w:rsidRPr="00FF439E" w:rsidRDefault="00E72492" w:rsidP="00286914">
      <w:pPr>
        <w:pStyle w:val="Subtitle"/>
        <w:jc w:val="center"/>
        <w:rPr>
          <w:color w:val="auto"/>
          <w:sz w:val="22"/>
          <w:szCs w:val="22"/>
        </w:rPr>
      </w:pPr>
      <w:r>
        <w:rPr>
          <w:color w:val="auto"/>
          <w:sz w:val="22"/>
          <w:szCs w:val="22"/>
        </w:rPr>
        <w:t>January</w:t>
      </w:r>
      <w:r w:rsidRPr="00FF439E">
        <w:rPr>
          <w:color w:val="auto"/>
          <w:sz w:val="22"/>
          <w:szCs w:val="22"/>
        </w:rPr>
        <w:t xml:space="preserve"> </w:t>
      </w:r>
      <w:r w:rsidR="00286914" w:rsidRPr="00FF439E">
        <w:rPr>
          <w:color w:val="auto"/>
          <w:sz w:val="22"/>
          <w:szCs w:val="22"/>
        </w:rPr>
        <w:t>202</w:t>
      </w:r>
      <w:r>
        <w:rPr>
          <w:color w:val="auto"/>
          <w:sz w:val="22"/>
          <w:szCs w:val="22"/>
        </w:rPr>
        <w:t>1</w:t>
      </w:r>
    </w:p>
    <w:p w14:paraId="29D00DFB" w14:textId="43F6B1E0" w:rsidR="00286914" w:rsidRPr="00FF439E" w:rsidRDefault="00203A01" w:rsidP="00286914">
      <w:pPr>
        <w:rPr>
          <w:sz w:val="22"/>
          <w:szCs w:val="22"/>
        </w:rPr>
      </w:pPr>
      <w:r>
        <w:rPr>
          <w:noProof/>
        </w:rPr>
        <w:drawing>
          <wp:anchor distT="0" distB="0" distL="114300" distR="114300" simplePos="0" relativeHeight="251683840" behindDoc="1" locked="0" layoutInCell="1" allowOverlap="1" wp14:anchorId="1B1ED109" wp14:editId="5ED1ED3F">
            <wp:simplePos x="0" y="0"/>
            <wp:positionH relativeFrom="column">
              <wp:posOffset>2710204</wp:posOffset>
            </wp:positionH>
            <wp:positionV relativeFrom="paragraph">
              <wp:posOffset>274368</wp:posOffset>
            </wp:positionV>
            <wp:extent cx="1114425" cy="1381125"/>
            <wp:effectExtent l="0" t="0" r="9525" b="9525"/>
            <wp:wrapTight wrapText="bothSides">
              <wp:wrapPolygon edited="0">
                <wp:start x="7015" y="0"/>
                <wp:lineTo x="3323" y="3277"/>
                <wp:lineTo x="4431" y="8640"/>
                <wp:lineTo x="7385" y="9534"/>
                <wp:lineTo x="1846" y="11321"/>
                <wp:lineTo x="1108" y="11917"/>
                <wp:lineTo x="2585" y="14301"/>
                <wp:lineTo x="0" y="14897"/>
                <wp:lineTo x="0" y="18174"/>
                <wp:lineTo x="2585" y="19961"/>
                <wp:lineTo x="1477" y="20855"/>
                <wp:lineTo x="1846" y="21451"/>
                <wp:lineTo x="19569" y="21451"/>
                <wp:lineTo x="18831" y="19961"/>
                <wp:lineTo x="21415" y="18174"/>
                <wp:lineTo x="21415" y="15492"/>
                <wp:lineTo x="20308" y="13407"/>
                <wp:lineTo x="18831" y="11917"/>
                <wp:lineTo x="14769" y="9534"/>
                <wp:lineTo x="16246" y="9534"/>
                <wp:lineTo x="18092" y="6554"/>
                <wp:lineTo x="18462" y="3873"/>
                <wp:lineTo x="17354" y="2383"/>
                <wp:lineTo x="14400" y="0"/>
                <wp:lineTo x="7015" y="0"/>
              </wp:wrapPolygon>
            </wp:wrapTight>
            <wp:docPr id="26" name="vert_logo" descr="Wyoming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_logo" descr="Wyoming Department of Heal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425" cy="1381125"/>
                    </a:xfrm>
                    <a:prstGeom prst="rect">
                      <a:avLst/>
                    </a:prstGeom>
                    <a:noFill/>
                    <a:ln>
                      <a:noFill/>
                    </a:ln>
                  </pic:spPr>
                </pic:pic>
              </a:graphicData>
            </a:graphic>
          </wp:anchor>
        </w:drawing>
      </w:r>
    </w:p>
    <w:p w14:paraId="4D075954" w14:textId="77777777" w:rsidR="00FF439E" w:rsidRDefault="00FF439E" w:rsidP="00FF439E">
      <w:pPr>
        <w:rPr>
          <w:i/>
          <w:iCs/>
        </w:rPr>
      </w:pPr>
    </w:p>
    <w:p w14:paraId="13A2F679" w14:textId="40178B77" w:rsidR="00FF439E" w:rsidRDefault="00865503" w:rsidP="00FF439E">
      <w:pPr>
        <w:rPr>
          <w:i/>
          <w:iCs/>
        </w:rPr>
      </w:pPr>
      <w:r>
        <w:rPr>
          <w:noProof/>
        </w:rPr>
        <w:drawing>
          <wp:anchor distT="0" distB="0" distL="114300" distR="114300" simplePos="0" relativeHeight="251682816" behindDoc="1" locked="0" layoutInCell="1" allowOverlap="1" wp14:anchorId="6E3ECB85" wp14:editId="22F810CF">
            <wp:simplePos x="0" y="0"/>
            <wp:positionH relativeFrom="column">
              <wp:posOffset>4276390</wp:posOffset>
            </wp:positionH>
            <wp:positionV relativeFrom="paragraph">
              <wp:posOffset>66054</wp:posOffset>
            </wp:positionV>
            <wp:extent cx="1774824" cy="598370"/>
            <wp:effectExtent l="0" t="0" r="0" b="0"/>
            <wp:wrapTight wrapText="bothSides">
              <wp:wrapPolygon edited="0">
                <wp:start x="2551" y="0"/>
                <wp:lineTo x="928" y="2752"/>
                <wp:lineTo x="0" y="6879"/>
                <wp:lineTo x="0" y="13758"/>
                <wp:lineTo x="1623" y="19949"/>
                <wp:lineTo x="2087" y="20637"/>
                <wp:lineTo x="4870" y="20637"/>
                <wp:lineTo x="21337" y="17885"/>
                <wp:lineTo x="21337" y="3439"/>
                <wp:lineTo x="4639" y="0"/>
                <wp:lineTo x="2551" y="0"/>
              </wp:wrapPolygon>
            </wp:wrapTight>
            <wp:docPr id="25" name="Picture 2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74824" cy="598370"/>
                    </a:xfrm>
                    <a:prstGeom prst="rect">
                      <a:avLst/>
                    </a:prstGeom>
                  </pic:spPr>
                </pic:pic>
              </a:graphicData>
            </a:graphic>
          </wp:anchor>
        </w:drawing>
      </w:r>
      <w:r w:rsidR="00203A01">
        <w:rPr>
          <w:noProof/>
        </w:rPr>
        <w:drawing>
          <wp:anchor distT="0" distB="0" distL="114300" distR="114300" simplePos="0" relativeHeight="251681792" behindDoc="1" locked="0" layoutInCell="1" allowOverlap="1" wp14:anchorId="7AAB8BC6" wp14:editId="30F13356">
            <wp:simplePos x="0" y="0"/>
            <wp:positionH relativeFrom="column">
              <wp:posOffset>-371874</wp:posOffset>
            </wp:positionH>
            <wp:positionV relativeFrom="paragraph">
              <wp:posOffset>152666</wp:posOffset>
            </wp:positionV>
            <wp:extent cx="2657475" cy="435610"/>
            <wp:effectExtent l="0" t="0" r="9525" b="2540"/>
            <wp:wrapTight wrapText="bothSides">
              <wp:wrapPolygon edited="0">
                <wp:start x="0" y="0"/>
                <wp:lineTo x="0" y="20781"/>
                <wp:lineTo x="21523" y="20781"/>
                <wp:lineTo x="21523" y="0"/>
                <wp:lineTo x="0" y="0"/>
              </wp:wrapPolygon>
            </wp:wrapTight>
            <wp:docPr id="24" name="Picture 24"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rawing of a 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7475" cy="435610"/>
                    </a:xfrm>
                    <a:prstGeom prst="rect">
                      <a:avLst/>
                    </a:prstGeom>
                  </pic:spPr>
                </pic:pic>
              </a:graphicData>
            </a:graphic>
          </wp:anchor>
        </w:drawing>
      </w:r>
    </w:p>
    <w:p w14:paraId="4EB94CE6" w14:textId="0D02D0F9" w:rsidR="00FF439E" w:rsidRPr="000F43B3" w:rsidRDefault="00FF439E" w:rsidP="00FF439E"/>
    <w:p w14:paraId="6590493A" w14:textId="77777777" w:rsidR="00952EFC" w:rsidRDefault="00952EFC" w:rsidP="00FF439E">
      <w:pPr>
        <w:rPr>
          <w:i/>
          <w:iCs/>
        </w:rPr>
      </w:pPr>
    </w:p>
    <w:p w14:paraId="60E96117" w14:textId="77777777" w:rsidR="00952EFC" w:rsidRDefault="00952EFC" w:rsidP="00FF439E">
      <w:pPr>
        <w:rPr>
          <w:i/>
          <w:iCs/>
        </w:rPr>
      </w:pPr>
    </w:p>
    <w:p w14:paraId="1F1F0975" w14:textId="77777777" w:rsidR="00952EFC" w:rsidRDefault="00952EFC" w:rsidP="00FF439E">
      <w:pPr>
        <w:rPr>
          <w:i/>
          <w:iCs/>
        </w:rPr>
      </w:pPr>
    </w:p>
    <w:p w14:paraId="050C4B2A" w14:textId="77777777" w:rsidR="00952EFC" w:rsidRDefault="00952EFC" w:rsidP="00FF439E">
      <w:pPr>
        <w:rPr>
          <w:i/>
          <w:iCs/>
        </w:rPr>
      </w:pPr>
    </w:p>
    <w:p w14:paraId="7B5F0AE4" w14:textId="04BA95AA" w:rsidR="00FF439E" w:rsidRPr="00FF439E" w:rsidRDefault="00AA5A23" w:rsidP="00FF439E">
      <w:pPr>
        <w:rPr>
          <w:i/>
          <w:iCs/>
        </w:rPr>
      </w:pPr>
      <w:r>
        <w:rPr>
          <w:i/>
          <w:iCs/>
        </w:rPr>
        <w:t>The Council of State and Territorial Epidemiologists</w:t>
      </w:r>
      <w:r w:rsidRPr="00FF439E">
        <w:rPr>
          <w:i/>
          <w:iCs/>
        </w:rPr>
        <w:t xml:space="preserve"> </w:t>
      </w:r>
      <w:r w:rsidR="00FF439E" w:rsidRPr="00FF439E">
        <w:rPr>
          <w:i/>
          <w:iCs/>
        </w:rPr>
        <w:t xml:space="preserve">provided technical assistance to </w:t>
      </w:r>
      <w:r w:rsidR="00FF439E">
        <w:rPr>
          <w:i/>
          <w:iCs/>
        </w:rPr>
        <w:t>Wyoming’s</w:t>
      </w:r>
      <w:r w:rsidR="00FF439E" w:rsidRPr="00FF439E">
        <w:rPr>
          <w:i/>
          <w:iCs/>
        </w:rPr>
        <w:t xml:space="preserve"> Jurisdiction-Level Vulnerability Assessment through Tufts University. The </w:t>
      </w:r>
      <w:r>
        <w:rPr>
          <w:i/>
          <w:iCs/>
        </w:rPr>
        <w:t>V</w:t>
      </w:r>
      <w:r w:rsidRPr="00FF439E">
        <w:rPr>
          <w:i/>
          <w:iCs/>
        </w:rPr>
        <w:t xml:space="preserve">ulnerability </w:t>
      </w:r>
      <w:r>
        <w:rPr>
          <w:i/>
          <w:iCs/>
        </w:rPr>
        <w:t>A</w:t>
      </w:r>
      <w:r w:rsidRPr="00FF439E">
        <w:rPr>
          <w:i/>
          <w:iCs/>
        </w:rPr>
        <w:t xml:space="preserve">ssessment </w:t>
      </w:r>
      <w:r w:rsidR="00FF439E" w:rsidRPr="00FF439E">
        <w:rPr>
          <w:i/>
          <w:iCs/>
        </w:rPr>
        <w:t xml:space="preserve">project and associated technical assistance was funded through </w:t>
      </w:r>
      <w:r>
        <w:rPr>
          <w:i/>
          <w:iCs/>
        </w:rPr>
        <w:t xml:space="preserve">the </w:t>
      </w:r>
      <w:r w:rsidRPr="00FF439E">
        <w:rPr>
          <w:i/>
          <w:iCs/>
        </w:rPr>
        <w:t>C</w:t>
      </w:r>
      <w:r>
        <w:rPr>
          <w:i/>
          <w:iCs/>
        </w:rPr>
        <w:t>enters for Disease Control and Prevention’</w:t>
      </w:r>
      <w:r w:rsidRPr="00FF439E">
        <w:rPr>
          <w:i/>
          <w:iCs/>
        </w:rPr>
        <w:t xml:space="preserve">s </w:t>
      </w:r>
      <w:r w:rsidR="00FF439E" w:rsidRPr="00FF439E">
        <w:rPr>
          <w:i/>
          <w:iCs/>
        </w:rPr>
        <w:t>National Center for Injury Prevention and Control, Cooperative Agreement Number 1NU1ROT000018-01-00.  The findings are those of the consultants and do not necessarily represent the views of the Centers for Disease Control and Prevention.</w:t>
      </w:r>
    </w:p>
    <w:p w14:paraId="7D165352" w14:textId="77777777" w:rsidR="00A826E4" w:rsidRDefault="00A826E4" w:rsidP="00A826E4">
      <w:pPr>
        <w:spacing w:before="0" w:after="0"/>
        <w:rPr>
          <w:b/>
          <w:caps/>
          <w:spacing w:val="10"/>
          <w:sz w:val="22"/>
          <w:szCs w:val="22"/>
        </w:rPr>
      </w:pPr>
    </w:p>
    <w:p w14:paraId="509ABCBF" w14:textId="01BF1968" w:rsidR="00286914" w:rsidRDefault="00FF439E" w:rsidP="00A826E4">
      <w:pPr>
        <w:spacing w:after="0"/>
        <w:rPr>
          <w:sz w:val="22"/>
          <w:szCs w:val="22"/>
        </w:rPr>
      </w:pPr>
      <w:r w:rsidRPr="00FF439E">
        <w:rPr>
          <w:b/>
          <w:caps/>
          <w:spacing w:val="10"/>
          <w:sz w:val="22"/>
          <w:szCs w:val="22"/>
        </w:rPr>
        <w:lastRenderedPageBreak/>
        <w:t xml:space="preserve">Recommended citation:  </w:t>
      </w:r>
      <w:r w:rsidR="00813B97" w:rsidRPr="00813B97">
        <w:rPr>
          <w:sz w:val="22"/>
          <w:szCs w:val="22"/>
        </w:rPr>
        <w:t>Pustz</w:t>
      </w:r>
      <w:r w:rsidRPr="00813B97">
        <w:rPr>
          <w:sz w:val="22"/>
          <w:szCs w:val="22"/>
        </w:rPr>
        <w:t xml:space="preserve"> J, Shrestha S, </w:t>
      </w:r>
      <w:r w:rsidR="006A5539">
        <w:rPr>
          <w:sz w:val="22"/>
          <w:szCs w:val="22"/>
        </w:rPr>
        <w:t xml:space="preserve">Newsky S, </w:t>
      </w:r>
      <w:r w:rsidR="00DA22A2">
        <w:rPr>
          <w:sz w:val="22"/>
          <w:szCs w:val="22"/>
        </w:rPr>
        <w:t>Anderson D, Fowler L,</w:t>
      </w:r>
      <w:r w:rsidR="006A5539">
        <w:rPr>
          <w:sz w:val="22"/>
          <w:szCs w:val="22"/>
        </w:rPr>
        <w:t xml:space="preserve"> </w:t>
      </w:r>
      <w:r w:rsidR="00E72492">
        <w:rPr>
          <w:sz w:val="22"/>
          <w:szCs w:val="22"/>
        </w:rPr>
        <w:t xml:space="preserve">Taylor M, Lingwall, C,  </w:t>
      </w:r>
      <w:r w:rsidR="00973BF1">
        <w:rPr>
          <w:sz w:val="22"/>
          <w:szCs w:val="22"/>
        </w:rPr>
        <w:t xml:space="preserve">Van Handel M, </w:t>
      </w:r>
      <w:r w:rsidRPr="00813B97">
        <w:rPr>
          <w:sz w:val="22"/>
          <w:szCs w:val="22"/>
        </w:rPr>
        <w:t xml:space="preserve">and Stopka TJ. Wyoming Opioid Vulnerability Assessment, </w:t>
      </w:r>
      <w:r w:rsidR="00952EFC">
        <w:rPr>
          <w:sz w:val="22"/>
          <w:szCs w:val="22"/>
        </w:rPr>
        <w:t>January 2021</w:t>
      </w:r>
      <w:r w:rsidRPr="00813B97">
        <w:rPr>
          <w:sz w:val="22"/>
          <w:szCs w:val="22"/>
        </w:rPr>
        <w:t>.</w:t>
      </w:r>
    </w:p>
    <w:p w14:paraId="77EE6EEA" w14:textId="77777777" w:rsidR="00A826E4" w:rsidRDefault="00A826E4" w:rsidP="00FF439E">
      <w:pPr>
        <w:rPr>
          <w:sz w:val="22"/>
          <w:szCs w:val="22"/>
        </w:rPr>
      </w:pPr>
    </w:p>
    <w:p w14:paraId="5CDCF0F8" w14:textId="77777777" w:rsidR="00A826E4" w:rsidRPr="00952EFC" w:rsidRDefault="00A826E4" w:rsidP="00A826E4">
      <w:pPr>
        <w:pStyle w:val="Subtitle"/>
        <w:spacing w:after="0"/>
        <w:rPr>
          <w:b/>
          <w:bCs/>
          <w:color w:val="auto"/>
        </w:rPr>
      </w:pPr>
      <w:r w:rsidRPr="00952EFC">
        <w:rPr>
          <w:b/>
          <w:bCs/>
          <w:color w:val="auto"/>
        </w:rPr>
        <w:t>For questions about this report, contact:</w:t>
      </w:r>
    </w:p>
    <w:p w14:paraId="23153788" w14:textId="77777777" w:rsidR="00A826E4" w:rsidRPr="00A826E4" w:rsidRDefault="00A826E4" w:rsidP="00A826E4">
      <w:pPr>
        <w:spacing w:after="0"/>
        <w:rPr>
          <w:sz w:val="22"/>
          <w:szCs w:val="22"/>
        </w:rPr>
      </w:pPr>
      <w:r w:rsidRPr="00A826E4">
        <w:rPr>
          <w:sz w:val="22"/>
          <w:szCs w:val="22"/>
        </w:rPr>
        <w:t>Cailyn Lingwall, MPH</w:t>
      </w:r>
    </w:p>
    <w:p w14:paraId="0000234B" w14:textId="77777777" w:rsidR="00A826E4" w:rsidRPr="00A826E4" w:rsidRDefault="005F757D" w:rsidP="00A826E4">
      <w:pPr>
        <w:spacing w:after="0"/>
        <w:rPr>
          <w:sz w:val="22"/>
          <w:szCs w:val="22"/>
        </w:rPr>
      </w:pPr>
      <w:hyperlink r:id="rId14" w:history="1">
        <w:r w:rsidR="00A826E4" w:rsidRPr="00A826E4">
          <w:rPr>
            <w:rStyle w:val="Hyperlink"/>
            <w:sz w:val="22"/>
            <w:szCs w:val="22"/>
          </w:rPr>
          <w:t>clingwall@cste.org</w:t>
        </w:r>
      </w:hyperlink>
    </w:p>
    <w:p w14:paraId="22663CF0" w14:textId="43AC4AC5" w:rsidR="00A826E4" w:rsidRDefault="00A826E4" w:rsidP="00A826E4">
      <w:pPr>
        <w:spacing w:after="0"/>
        <w:rPr>
          <w:sz w:val="22"/>
          <w:szCs w:val="22"/>
        </w:rPr>
      </w:pPr>
      <w:r w:rsidRPr="00A826E4">
        <w:rPr>
          <w:sz w:val="22"/>
          <w:szCs w:val="22"/>
        </w:rPr>
        <w:t>Council of State and Territorial Epidemiologists</w:t>
      </w:r>
    </w:p>
    <w:p w14:paraId="43BD5077" w14:textId="77777777" w:rsidR="00952EFC" w:rsidRPr="00A826E4" w:rsidRDefault="00952EFC" w:rsidP="00A826E4">
      <w:pPr>
        <w:spacing w:after="0"/>
        <w:rPr>
          <w:sz w:val="22"/>
          <w:szCs w:val="22"/>
        </w:rPr>
      </w:pPr>
    </w:p>
    <w:p w14:paraId="45A8FF81" w14:textId="34429ADD" w:rsidR="00286914" w:rsidRDefault="00286914" w:rsidP="006A5539">
      <w:pPr>
        <w:pStyle w:val="Subtitle"/>
        <w:spacing w:after="0"/>
        <w:rPr>
          <w:color w:val="auto"/>
          <w:sz w:val="22"/>
          <w:szCs w:val="22"/>
        </w:rPr>
      </w:pPr>
      <w:r w:rsidRPr="00A826E4">
        <w:rPr>
          <w:b/>
          <w:bCs/>
          <w:color w:val="auto"/>
          <w:sz w:val="22"/>
          <w:szCs w:val="22"/>
        </w:rPr>
        <w:t>acknowledgements</w:t>
      </w:r>
      <w:r w:rsidR="00813B97">
        <w:rPr>
          <w:color w:val="auto"/>
          <w:sz w:val="22"/>
          <w:szCs w:val="22"/>
        </w:rPr>
        <w:t>:</w:t>
      </w:r>
    </w:p>
    <w:p w14:paraId="7A3BDCDC" w14:textId="5E33AD08" w:rsidR="006A5539" w:rsidRDefault="006A5539" w:rsidP="006A5539">
      <w:pPr>
        <w:rPr>
          <w:sz w:val="22"/>
          <w:szCs w:val="22"/>
        </w:rPr>
      </w:pPr>
      <w:r>
        <w:rPr>
          <w:sz w:val="22"/>
          <w:szCs w:val="22"/>
        </w:rPr>
        <w:t>The Tufts team would like to thank the following individuals for their contributions to this vulnerability assessment:</w:t>
      </w:r>
    </w:p>
    <w:p w14:paraId="07274F18" w14:textId="1B14E94D" w:rsidR="006A5539" w:rsidRDefault="006A5539" w:rsidP="006A5539">
      <w:pPr>
        <w:rPr>
          <w:sz w:val="22"/>
          <w:szCs w:val="22"/>
        </w:rPr>
      </w:pPr>
      <w:r>
        <w:rPr>
          <w:sz w:val="22"/>
          <w:szCs w:val="22"/>
        </w:rPr>
        <w:t>Debi Anderson</w:t>
      </w:r>
      <w:r w:rsidR="00E72492">
        <w:rPr>
          <w:sz w:val="22"/>
          <w:szCs w:val="22"/>
        </w:rPr>
        <w:t>, CPM</w:t>
      </w:r>
    </w:p>
    <w:p w14:paraId="7CAF08B3" w14:textId="2800199F" w:rsidR="006A5539" w:rsidRDefault="006A5539" w:rsidP="006A5539">
      <w:pPr>
        <w:rPr>
          <w:sz w:val="22"/>
          <w:szCs w:val="22"/>
        </w:rPr>
      </w:pPr>
      <w:r>
        <w:rPr>
          <w:sz w:val="22"/>
          <w:szCs w:val="22"/>
        </w:rPr>
        <w:t>Leslie Fowler</w:t>
      </w:r>
      <w:r w:rsidR="00E72492">
        <w:rPr>
          <w:sz w:val="22"/>
          <w:szCs w:val="22"/>
        </w:rPr>
        <w:t>, BSN, RN</w:t>
      </w:r>
    </w:p>
    <w:p w14:paraId="7F81F3D4" w14:textId="58069D15" w:rsidR="006A5539" w:rsidRDefault="006A5539" w:rsidP="006A5539">
      <w:pPr>
        <w:rPr>
          <w:sz w:val="22"/>
          <w:szCs w:val="22"/>
        </w:rPr>
      </w:pPr>
      <w:r>
        <w:rPr>
          <w:sz w:val="22"/>
          <w:szCs w:val="22"/>
        </w:rPr>
        <w:t>Sarah Newsky</w:t>
      </w:r>
      <w:r w:rsidR="00E72492">
        <w:rPr>
          <w:sz w:val="22"/>
          <w:szCs w:val="22"/>
        </w:rPr>
        <w:t>, MPH</w:t>
      </w:r>
    </w:p>
    <w:p w14:paraId="13F7F1B7" w14:textId="75FB8A6E" w:rsidR="00C07F80" w:rsidRDefault="00C07F80" w:rsidP="006A5539">
      <w:pPr>
        <w:rPr>
          <w:sz w:val="22"/>
          <w:szCs w:val="22"/>
        </w:rPr>
      </w:pPr>
      <w:r>
        <w:rPr>
          <w:sz w:val="22"/>
          <w:szCs w:val="22"/>
        </w:rPr>
        <w:t>Melissa Taylor</w:t>
      </w:r>
      <w:r w:rsidR="00E72492">
        <w:rPr>
          <w:sz w:val="22"/>
          <w:szCs w:val="22"/>
        </w:rPr>
        <w:t>, MPH</w:t>
      </w:r>
    </w:p>
    <w:p w14:paraId="5BC1B11D" w14:textId="4044457A" w:rsidR="006A5539" w:rsidRDefault="006A5539" w:rsidP="006A5539">
      <w:pPr>
        <w:rPr>
          <w:sz w:val="22"/>
          <w:szCs w:val="22"/>
        </w:rPr>
      </w:pPr>
      <w:r>
        <w:rPr>
          <w:sz w:val="22"/>
          <w:szCs w:val="22"/>
        </w:rPr>
        <w:t>Cailyn Lingwall</w:t>
      </w:r>
      <w:r w:rsidR="00E72492">
        <w:rPr>
          <w:sz w:val="22"/>
          <w:szCs w:val="22"/>
        </w:rPr>
        <w:t>, MPH, CHES</w:t>
      </w:r>
    </w:p>
    <w:p w14:paraId="6B00C3F9" w14:textId="32A8B3D7" w:rsidR="006A5539" w:rsidRDefault="006A5539" w:rsidP="006A5539">
      <w:pPr>
        <w:rPr>
          <w:sz w:val="22"/>
          <w:szCs w:val="22"/>
        </w:rPr>
      </w:pPr>
      <w:r>
        <w:rPr>
          <w:sz w:val="22"/>
          <w:szCs w:val="22"/>
        </w:rPr>
        <w:t>Michelle Van Handel</w:t>
      </w:r>
      <w:r w:rsidR="00E72492">
        <w:rPr>
          <w:sz w:val="22"/>
          <w:szCs w:val="22"/>
        </w:rPr>
        <w:t>, MPH</w:t>
      </w:r>
    </w:p>
    <w:p w14:paraId="70A7CAE4" w14:textId="77777777" w:rsidR="006A5539" w:rsidRDefault="006A5539" w:rsidP="006A5539">
      <w:pPr>
        <w:rPr>
          <w:sz w:val="22"/>
          <w:szCs w:val="22"/>
        </w:rPr>
      </w:pPr>
    </w:p>
    <w:p w14:paraId="5E491EEA" w14:textId="77777777" w:rsidR="006A5539" w:rsidRPr="00485AF0" w:rsidRDefault="006A5539" w:rsidP="000F43B3">
      <w:pPr>
        <w:rPr>
          <w:sz w:val="22"/>
          <w:szCs w:val="22"/>
        </w:rPr>
      </w:pPr>
    </w:p>
    <w:p w14:paraId="2D53593A" w14:textId="77777777" w:rsidR="006A5539" w:rsidRPr="000F43B3" w:rsidRDefault="006A5539" w:rsidP="000F43B3"/>
    <w:p w14:paraId="133F43B9" w14:textId="77777777" w:rsidR="00813B97" w:rsidRPr="00813B97" w:rsidRDefault="00813B97" w:rsidP="00813B97"/>
    <w:p w14:paraId="5B5397C3" w14:textId="41D7443C" w:rsidR="00286914" w:rsidRPr="00FF439E" w:rsidRDefault="00286914" w:rsidP="00D82D72">
      <w:pPr>
        <w:rPr>
          <w:sz w:val="22"/>
          <w:szCs w:val="22"/>
        </w:rPr>
      </w:pPr>
      <w:r w:rsidRPr="00FF439E">
        <w:rPr>
          <w:sz w:val="22"/>
          <w:szCs w:val="22"/>
        </w:rPr>
        <w:br w:type="page"/>
      </w:r>
    </w:p>
    <w:sdt>
      <w:sdtPr>
        <w:rPr>
          <w:caps w:val="0"/>
          <w:color w:val="auto"/>
          <w:spacing w:val="0"/>
          <w:sz w:val="20"/>
          <w:szCs w:val="20"/>
        </w:rPr>
        <w:id w:val="-199250862"/>
        <w:docPartObj>
          <w:docPartGallery w:val="Table of Contents"/>
          <w:docPartUnique/>
        </w:docPartObj>
      </w:sdtPr>
      <w:sdtEndPr>
        <w:rPr>
          <w:b/>
          <w:bCs/>
          <w:noProof/>
        </w:rPr>
      </w:sdtEndPr>
      <w:sdtContent>
        <w:p w14:paraId="632900A9" w14:textId="1C5031F9" w:rsidR="00D82D72" w:rsidRDefault="00D82D72" w:rsidP="00865503">
          <w:pPr>
            <w:pStyle w:val="TOCHeading"/>
            <w:tabs>
              <w:tab w:val="left" w:pos="2690"/>
            </w:tabs>
          </w:pPr>
          <w:r>
            <w:t>Table of Contents</w:t>
          </w:r>
          <w:r w:rsidR="00865503">
            <w:tab/>
          </w:r>
        </w:p>
        <w:p w14:paraId="20B7C43D" w14:textId="5F2003DE" w:rsidR="00952EFC" w:rsidRDefault="00D82D72">
          <w:pPr>
            <w:pStyle w:val="TOC1"/>
            <w:tabs>
              <w:tab w:val="right" w:leader="dot" w:pos="9350"/>
            </w:tabs>
            <w:rPr>
              <w:noProof/>
              <w:sz w:val="22"/>
              <w:szCs w:val="22"/>
            </w:rPr>
          </w:pPr>
          <w:r>
            <w:fldChar w:fldCharType="begin"/>
          </w:r>
          <w:r>
            <w:instrText xml:space="preserve"> TOC \o "1-3" \h \z \u </w:instrText>
          </w:r>
          <w:r>
            <w:fldChar w:fldCharType="separate"/>
          </w:r>
          <w:hyperlink w:anchor="_Toc61961290" w:history="1">
            <w:r w:rsidR="00952EFC" w:rsidRPr="003E216B">
              <w:rPr>
                <w:rStyle w:val="Hyperlink"/>
                <w:noProof/>
              </w:rPr>
              <w:t>Executive Summary</w:t>
            </w:r>
            <w:r w:rsidR="00952EFC">
              <w:rPr>
                <w:noProof/>
                <w:webHidden/>
              </w:rPr>
              <w:tab/>
            </w:r>
            <w:r w:rsidR="00952EFC">
              <w:rPr>
                <w:noProof/>
                <w:webHidden/>
              </w:rPr>
              <w:fldChar w:fldCharType="begin"/>
            </w:r>
            <w:r w:rsidR="00952EFC">
              <w:rPr>
                <w:noProof/>
                <w:webHidden/>
              </w:rPr>
              <w:instrText xml:space="preserve"> PAGEREF _Toc61961290 \h </w:instrText>
            </w:r>
            <w:r w:rsidR="00952EFC">
              <w:rPr>
                <w:noProof/>
                <w:webHidden/>
              </w:rPr>
            </w:r>
            <w:r w:rsidR="00952EFC">
              <w:rPr>
                <w:noProof/>
                <w:webHidden/>
              </w:rPr>
              <w:fldChar w:fldCharType="separate"/>
            </w:r>
            <w:r w:rsidR="00952EFC">
              <w:rPr>
                <w:noProof/>
                <w:webHidden/>
              </w:rPr>
              <w:t>4</w:t>
            </w:r>
            <w:r w:rsidR="00952EFC">
              <w:rPr>
                <w:noProof/>
                <w:webHidden/>
              </w:rPr>
              <w:fldChar w:fldCharType="end"/>
            </w:r>
          </w:hyperlink>
        </w:p>
        <w:p w14:paraId="44F01454" w14:textId="2BD2EF41" w:rsidR="00952EFC" w:rsidRDefault="005F757D">
          <w:pPr>
            <w:pStyle w:val="TOC1"/>
            <w:tabs>
              <w:tab w:val="right" w:leader="dot" w:pos="9350"/>
            </w:tabs>
            <w:rPr>
              <w:noProof/>
              <w:sz w:val="22"/>
              <w:szCs w:val="22"/>
            </w:rPr>
          </w:pPr>
          <w:hyperlink w:anchor="_Toc61961291" w:history="1">
            <w:r w:rsidR="00952EFC" w:rsidRPr="003E216B">
              <w:rPr>
                <w:rStyle w:val="Hyperlink"/>
                <w:noProof/>
              </w:rPr>
              <w:t>Background</w:t>
            </w:r>
            <w:r w:rsidR="00952EFC">
              <w:rPr>
                <w:noProof/>
                <w:webHidden/>
              </w:rPr>
              <w:tab/>
            </w:r>
            <w:r w:rsidR="00952EFC">
              <w:rPr>
                <w:noProof/>
                <w:webHidden/>
              </w:rPr>
              <w:fldChar w:fldCharType="begin"/>
            </w:r>
            <w:r w:rsidR="00952EFC">
              <w:rPr>
                <w:noProof/>
                <w:webHidden/>
              </w:rPr>
              <w:instrText xml:space="preserve"> PAGEREF _Toc61961291 \h </w:instrText>
            </w:r>
            <w:r w:rsidR="00952EFC">
              <w:rPr>
                <w:noProof/>
                <w:webHidden/>
              </w:rPr>
            </w:r>
            <w:r w:rsidR="00952EFC">
              <w:rPr>
                <w:noProof/>
                <w:webHidden/>
              </w:rPr>
              <w:fldChar w:fldCharType="separate"/>
            </w:r>
            <w:r w:rsidR="00952EFC">
              <w:rPr>
                <w:noProof/>
                <w:webHidden/>
              </w:rPr>
              <w:t>5</w:t>
            </w:r>
            <w:r w:rsidR="00952EFC">
              <w:rPr>
                <w:noProof/>
                <w:webHidden/>
              </w:rPr>
              <w:fldChar w:fldCharType="end"/>
            </w:r>
          </w:hyperlink>
        </w:p>
        <w:p w14:paraId="4948AEE2" w14:textId="24C71EBF" w:rsidR="00952EFC" w:rsidRDefault="005F757D">
          <w:pPr>
            <w:pStyle w:val="TOC1"/>
            <w:tabs>
              <w:tab w:val="right" w:leader="dot" w:pos="9350"/>
            </w:tabs>
            <w:rPr>
              <w:noProof/>
              <w:sz w:val="22"/>
              <w:szCs w:val="22"/>
            </w:rPr>
          </w:pPr>
          <w:hyperlink w:anchor="_Toc61961292" w:history="1">
            <w:r w:rsidR="00952EFC" w:rsidRPr="003E216B">
              <w:rPr>
                <w:rStyle w:val="Hyperlink"/>
                <w:noProof/>
              </w:rPr>
              <w:t>Methods</w:t>
            </w:r>
            <w:r w:rsidR="00952EFC">
              <w:rPr>
                <w:noProof/>
                <w:webHidden/>
              </w:rPr>
              <w:tab/>
            </w:r>
            <w:r w:rsidR="00952EFC">
              <w:rPr>
                <w:noProof/>
                <w:webHidden/>
              </w:rPr>
              <w:fldChar w:fldCharType="begin"/>
            </w:r>
            <w:r w:rsidR="00952EFC">
              <w:rPr>
                <w:noProof/>
                <w:webHidden/>
              </w:rPr>
              <w:instrText xml:space="preserve"> PAGEREF _Toc61961292 \h </w:instrText>
            </w:r>
            <w:r w:rsidR="00952EFC">
              <w:rPr>
                <w:noProof/>
                <w:webHidden/>
              </w:rPr>
            </w:r>
            <w:r w:rsidR="00952EFC">
              <w:rPr>
                <w:noProof/>
                <w:webHidden/>
              </w:rPr>
              <w:fldChar w:fldCharType="separate"/>
            </w:r>
            <w:r w:rsidR="00952EFC">
              <w:rPr>
                <w:noProof/>
                <w:webHidden/>
              </w:rPr>
              <w:t>7</w:t>
            </w:r>
            <w:r w:rsidR="00952EFC">
              <w:rPr>
                <w:noProof/>
                <w:webHidden/>
              </w:rPr>
              <w:fldChar w:fldCharType="end"/>
            </w:r>
          </w:hyperlink>
        </w:p>
        <w:p w14:paraId="046A022D" w14:textId="3C13163F" w:rsidR="00952EFC" w:rsidRDefault="005F757D">
          <w:pPr>
            <w:pStyle w:val="TOC1"/>
            <w:tabs>
              <w:tab w:val="right" w:leader="dot" w:pos="9350"/>
            </w:tabs>
            <w:rPr>
              <w:noProof/>
              <w:sz w:val="22"/>
              <w:szCs w:val="22"/>
            </w:rPr>
          </w:pPr>
          <w:hyperlink w:anchor="_Toc61961293" w:history="1">
            <w:r w:rsidR="00952EFC" w:rsidRPr="003E216B">
              <w:rPr>
                <w:rStyle w:val="Hyperlink"/>
                <w:noProof/>
              </w:rPr>
              <w:t>Results</w:t>
            </w:r>
            <w:r w:rsidR="00952EFC">
              <w:rPr>
                <w:noProof/>
                <w:webHidden/>
              </w:rPr>
              <w:tab/>
            </w:r>
            <w:r w:rsidR="00952EFC">
              <w:rPr>
                <w:noProof/>
                <w:webHidden/>
              </w:rPr>
              <w:fldChar w:fldCharType="begin"/>
            </w:r>
            <w:r w:rsidR="00952EFC">
              <w:rPr>
                <w:noProof/>
                <w:webHidden/>
              </w:rPr>
              <w:instrText xml:space="preserve"> PAGEREF _Toc61961293 \h </w:instrText>
            </w:r>
            <w:r w:rsidR="00952EFC">
              <w:rPr>
                <w:noProof/>
                <w:webHidden/>
              </w:rPr>
            </w:r>
            <w:r w:rsidR="00952EFC">
              <w:rPr>
                <w:noProof/>
                <w:webHidden/>
              </w:rPr>
              <w:fldChar w:fldCharType="separate"/>
            </w:r>
            <w:r w:rsidR="00952EFC">
              <w:rPr>
                <w:noProof/>
                <w:webHidden/>
              </w:rPr>
              <w:t>12</w:t>
            </w:r>
            <w:r w:rsidR="00952EFC">
              <w:rPr>
                <w:noProof/>
                <w:webHidden/>
              </w:rPr>
              <w:fldChar w:fldCharType="end"/>
            </w:r>
          </w:hyperlink>
        </w:p>
        <w:p w14:paraId="71E2254D" w14:textId="4F68E695" w:rsidR="00952EFC" w:rsidRDefault="005F757D">
          <w:pPr>
            <w:pStyle w:val="TOC1"/>
            <w:tabs>
              <w:tab w:val="right" w:leader="dot" w:pos="9350"/>
            </w:tabs>
            <w:rPr>
              <w:noProof/>
              <w:sz w:val="22"/>
              <w:szCs w:val="22"/>
            </w:rPr>
          </w:pPr>
          <w:hyperlink w:anchor="_Toc61961294" w:history="1">
            <w:r w:rsidR="00952EFC" w:rsidRPr="003E216B">
              <w:rPr>
                <w:rStyle w:val="Hyperlink"/>
                <w:noProof/>
              </w:rPr>
              <w:t>Discussion</w:t>
            </w:r>
            <w:r w:rsidR="00952EFC">
              <w:rPr>
                <w:noProof/>
                <w:webHidden/>
              </w:rPr>
              <w:tab/>
            </w:r>
            <w:r w:rsidR="00952EFC">
              <w:rPr>
                <w:noProof/>
                <w:webHidden/>
              </w:rPr>
              <w:fldChar w:fldCharType="begin"/>
            </w:r>
            <w:r w:rsidR="00952EFC">
              <w:rPr>
                <w:noProof/>
                <w:webHidden/>
              </w:rPr>
              <w:instrText xml:space="preserve"> PAGEREF _Toc61961294 \h </w:instrText>
            </w:r>
            <w:r w:rsidR="00952EFC">
              <w:rPr>
                <w:noProof/>
                <w:webHidden/>
              </w:rPr>
            </w:r>
            <w:r w:rsidR="00952EFC">
              <w:rPr>
                <w:noProof/>
                <w:webHidden/>
              </w:rPr>
              <w:fldChar w:fldCharType="separate"/>
            </w:r>
            <w:r w:rsidR="00952EFC">
              <w:rPr>
                <w:noProof/>
                <w:webHidden/>
              </w:rPr>
              <w:t>22</w:t>
            </w:r>
            <w:r w:rsidR="00952EFC">
              <w:rPr>
                <w:noProof/>
                <w:webHidden/>
              </w:rPr>
              <w:fldChar w:fldCharType="end"/>
            </w:r>
          </w:hyperlink>
        </w:p>
        <w:p w14:paraId="0BBDFA94" w14:textId="7CE80A8A" w:rsidR="00952EFC" w:rsidRDefault="005F757D">
          <w:pPr>
            <w:pStyle w:val="TOC1"/>
            <w:tabs>
              <w:tab w:val="right" w:leader="dot" w:pos="9350"/>
            </w:tabs>
            <w:rPr>
              <w:noProof/>
              <w:sz w:val="22"/>
              <w:szCs w:val="22"/>
            </w:rPr>
          </w:pPr>
          <w:hyperlink w:anchor="_Toc61961295" w:history="1">
            <w:r w:rsidR="00952EFC" w:rsidRPr="003E216B">
              <w:rPr>
                <w:rStyle w:val="Hyperlink"/>
                <w:noProof/>
              </w:rPr>
              <w:t>References</w:t>
            </w:r>
            <w:r w:rsidR="00952EFC">
              <w:rPr>
                <w:noProof/>
                <w:webHidden/>
              </w:rPr>
              <w:tab/>
            </w:r>
            <w:r w:rsidR="00952EFC">
              <w:rPr>
                <w:noProof/>
                <w:webHidden/>
              </w:rPr>
              <w:fldChar w:fldCharType="begin"/>
            </w:r>
            <w:r w:rsidR="00952EFC">
              <w:rPr>
                <w:noProof/>
                <w:webHidden/>
              </w:rPr>
              <w:instrText xml:space="preserve"> PAGEREF _Toc61961295 \h </w:instrText>
            </w:r>
            <w:r w:rsidR="00952EFC">
              <w:rPr>
                <w:noProof/>
                <w:webHidden/>
              </w:rPr>
            </w:r>
            <w:r w:rsidR="00952EFC">
              <w:rPr>
                <w:noProof/>
                <w:webHidden/>
              </w:rPr>
              <w:fldChar w:fldCharType="separate"/>
            </w:r>
            <w:r w:rsidR="00952EFC">
              <w:rPr>
                <w:noProof/>
                <w:webHidden/>
              </w:rPr>
              <w:t>25</w:t>
            </w:r>
            <w:r w:rsidR="00952EFC">
              <w:rPr>
                <w:noProof/>
                <w:webHidden/>
              </w:rPr>
              <w:fldChar w:fldCharType="end"/>
            </w:r>
          </w:hyperlink>
        </w:p>
        <w:p w14:paraId="1242C022" w14:textId="3B15FFD3" w:rsidR="00952EFC" w:rsidRDefault="005F757D">
          <w:pPr>
            <w:pStyle w:val="TOC1"/>
            <w:tabs>
              <w:tab w:val="right" w:leader="dot" w:pos="9350"/>
            </w:tabs>
            <w:rPr>
              <w:noProof/>
              <w:sz w:val="22"/>
              <w:szCs w:val="22"/>
            </w:rPr>
          </w:pPr>
          <w:hyperlink w:anchor="_Toc61961296" w:history="1">
            <w:r w:rsidR="00952EFC" w:rsidRPr="003E216B">
              <w:rPr>
                <w:rStyle w:val="Hyperlink"/>
                <w:noProof/>
              </w:rPr>
              <w:t>Appendix</w:t>
            </w:r>
            <w:r w:rsidR="00952EFC">
              <w:rPr>
                <w:noProof/>
                <w:webHidden/>
              </w:rPr>
              <w:tab/>
            </w:r>
            <w:r w:rsidR="00952EFC">
              <w:rPr>
                <w:noProof/>
                <w:webHidden/>
              </w:rPr>
              <w:fldChar w:fldCharType="begin"/>
            </w:r>
            <w:r w:rsidR="00952EFC">
              <w:rPr>
                <w:noProof/>
                <w:webHidden/>
              </w:rPr>
              <w:instrText xml:space="preserve"> PAGEREF _Toc61961296 \h </w:instrText>
            </w:r>
            <w:r w:rsidR="00952EFC">
              <w:rPr>
                <w:noProof/>
                <w:webHidden/>
              </w:rPr>
            </w:r>
            <w:r w:rsidR="00952EFC">
              <w:rPr>
                <w:noProof/>
                <w:webHidden/>
              </w:rPr>
              <w:fldChar w:fldCharType="separate"/>
            </w:r>
            <w:r w:rsidR="00952EFC">
              <w:rPr>
                <w:noProof/>
                <w:webHidden/>
              </w:rPr>
              <w:t>28</w:t>
            </w:r>
            <w:r w:rsidR="00952EFC">
              <w:rPr>
                <w:noProof/>
                <w:webHidden/>
              </w:rPr>
              <w:fldChar w:fldCharType="end"/>
            </w:r>
          </w:hyperlink>
        </w:p>
        <w:p w14:paraId="6A6F3F56" w14:textId="25D18CF4" w:rsidR="00D82D72" w:rsidRDefault="00D82D72" w:rsidP="00D82D72">
          <w:pPr>
            <w:rPr>
              <w:b/>
              <w:bCs/>
              <w:noProof/>
            </w:rPr>
          </w:pPr>
          <w:r>
            <w:rPr>
              <w:b/>
              <w:bCs/>
              <w:noProof/>
            </w:rPr>
            <w:fldChar w:fldCharType="end"/>
          </w:r>
        </w:p>
        <w:p w14:paraId="370B345A" w14:textId="35A08731" w:rsidR="00D82D72" w:rsidRDefault="005F757D"/>
      </w:sdtContent>
    </w:sdt>
    <w:p w14:paraId="61FEEA49" w14:textId="3271A2B0" w:rsidR="00D82D72" w:rsidRDefault="00D82D72">
      <w:pPr>
        <w:rPr>
          <w:caps/>
          <w:color w:val="595959" w:themeColor="text1" w:themeTint="A6"/>
          <w:spacing w:val="10"/>
          <w:sz w:val="21"/>
          <w:szCs w:val="21"/>
        </w:rPr>
      </w:pPr>
      <w:r>
        <w:br w:type="page"/>
      </w:r>
    </w:p>
    <w:p w14:paraId="4C7AF8F4" w14:textId="4B2D9F99" w:rsidR="00286914" w:rsidRDefault="00DA22A2" w:rsidP="00D82D72">
      <w:pPr>
        <w:pStyle w:val="Heading1"/>
      </w:pPr>
      <w:bookmarkStart w:id="1" w:name="_Toc61961290"/>
      <w:r>
        <w:lastRenderedPageBreak/>
        <w:t>E</w:t>
      </w:r>
      <w:r w:rsidR="00D82D72">
        <w:t>xecutive</w:t>
      </w:r>
      <w:r>
        <w:t xml:space="preserve"> S</w:t>
      </w:r>
      <w:r w:rsidR="00D82D72">
        <w:t>ummary</w:t>
      </w:r>
      <w:bookmarkEnd w:id="1"/>
      <w:r w:rsidR="00D82D72">
        <w:t xml:space="preserve"> </w:t>
      </w:r>
    </w:p>
    <w:p w14:paraId="720C7F06" w14:textId="39E818B9" w:rsidR="00BB4BFB" w:rsidRPr="00FF439E" w:rsidRDefault="00BB4BFB" w:rsidP="00BB4BFB">
      <w:pPr>
        <w:rPr>
          <w:sz w:val="22"/>
          <w:szCs w:val="22"/>
        </w:rPr>
      </w:pPr>
      <w:r w:rsidRPr="00FF439E">
        <w:rPr>
          <w:sz w:val="22"/>
          <w:szCs w:val="22"/>
        </w:rPr>
        <w:t>The opioid overdose crisis</w:t>
      </w:r>
      <w:r>
        <w:rPr>
          <w:sz w:val="22"/>
          <w:szCs w:val="22"/>
        </w:rPr>
        <w:t xml:space="preserve"> </w:t>
      </w:r>
      <w:r w:rsidRPr="00FF439E">
        <w:rPr>
          <w:sz w:val="22"/>
          <w:szCs w:val="22"/>
        </w:rPr>
        <w:t>has been one of the most significant challenges to public health in the United States in decades.</w:t>
      </w:r>
      <w:r>
        <w:rPr>
          <w:sz w:val="22"/>
          <w:szCs w:val="22"/>
        </w:rPr>
        <w:t xml:space="preserve"> </w:t>
      </w:r>
      <w:r w:rsidR="005E5952">
        <w:rPr>
          <w:sz w:val="22"/>
          <w:szCs w:val="22"/>
        </w:rPr>
        <w:t>Fatal overdose rates</w:t>
      </w:r>
      <w:r w:rsidRPr="00FF439E">
        <w:rPr>
          <w:sz w:val="22"/>
          <w:szCs w:val="22"/>
        </w:rPr>
        <w:t xml:space="preserve"> associated with opioid</w:t>
      </w:r>
      <w:r w:rsidR="00AA5A23">
        <w:rPr>
          <w:sz w:val="22"/>
          <w:szCs w:val="22"/>
        </w:rPr>
        <w:t>s</w:t>
      </w:r>
      <w:r w:rsidRPr="00FF439E">
        <w:rPr>
          <w:sz w:val="22"/>
          <w:szCs w:val="22"/>
        </w:rPr>
        <w:t xml:space="preserve"> steadily increased nationwide beginning in 1999, following the introduction of prescription opioid pain relievers</w:t>
      </w:r>
      <w:r w:rsidR="006A5539">
        <w:rPr>
          <w:sz w:val="22"/>
          <w:szCs w:val="22"/>
        </w:rPr>
        <w:t>. Overdose related to prescribed opioids began leveling off by 2010, only to be followed by major increases in deaths attributed to heroin, followed by</w:t>
      </w:r>
      <w:r w:rsidRPr="00FF439E">
        <w:rPr>
          <w:sz w:val="22"/>
          <w:szCs w:val="22"/>
        </w:rPr>
        <w:t xml:space="preserve"> fentanyl’s appearance in the illicit drug supply</w:t>
      </w:r>
      <w:r w:rsidR="006A5539">
        <w:rPr>
          <w:sz w:val="22"/>
          <w:szCs w:val="22"/>
        </w:rPr>
        <w:t>, which</w:t>
      </w:r>
      <w:r w:rsidRPr="00FF439E">
        <w:rPr>
          <w:sz w:val="22"/>
          <w:szCs w:val="22"/>
        </w:rPr>
        <w:t xml:space="preserve"> caused a much sharper increase in mortality beginning in 2013.</w:t>
      </w:r>
      <w:r w:rsidRPr="00FF439E">
        <w:rPr>
          <w:sz w:val="22"/>
          <w:szCs w:val="22"/>
        </w:rPr>
        <w:fldChar w:fldCharType="begin"/>
      </w:r>
      <w:r w:rsidR="006A5539">
        <w:rPr>
          <w:sz w:val="22"/>
          <w:szCs w:val="22"/>
        </w:rPr>
        <w:instrText xml:space="preserve"> ADDIN ZOTERO_ITEM CSL_CITATION {"citationID":"MFCi7STo","properties":{"formattedCitation":"\\super 1,2\\nosupersub{}","plainCitation":"1,2","noteIndex":0},"citationItems":[{"id":72,"uris":["http://zotero.org/users/454081/items/38FMA6RX"],"uri":["http://zotero.org/users/454081/items/38FMA6RX"],"itemData":{"id":72,"type":"article-journal","language":"en","page":"9","source":"Zotero","title":"Drug and Opioid-Involved Overdose Deaths — United States, 2013–2017","volume":"67","author":[{"family":"Scholl","given":"Lawrence"},{"family":"Seth","given":"Puja"},{"family":"Kariisa","given":"Mbabazi"},{"family":"Wilson","given":"Nana"},{"family":"Baldwin","given":"Grant"}],"issued":{"date-parts":[["2019"]]}}},{"id":1358,"uris":["http://zotero.org/users/454081/items/4WXHMTXW"],"uri":["http://zotero.org/users/454081/items/4WXHMTXW"],"itemData":{"id":1358,"type":"webpage","container-title":"Opioid Overdose","title":"Understanding the Epidemic","URL":"https://www.cdc.gov/drugoverdose/epidemic/index.html#:~:text=2-,Three%20Waves%20of%20Opioid%20Overdose%20Deaths,including%20prescription%20and%20illicit%20opioids","author":[{"literal":"Centers for Disease Control and Prevention"}],"accessed":{"date-parts":[["2020",10,9]]},"issued":{"date-parts":[["2020"]]}}}],"schema":"https://github.com/citation-style-language/schema/raw/master/csl-citation.json"} </w:instrText>
      </w:r>
      <w:r w:rsidRPr="00FF439E">
        <w:rPr>
          <w:sz w:val="22"/>
          <w:szCs w:val="22"/>
        </w:rPr>
        <w:fldChar w:fldCharType="separate"/>
      </w:r>
      <w:r w:rsidR="006A5539" w:rsidRPr="006A5539">
        <w:rPr>
          <w:rFonts w:ascii="Calibri" w:hAnsi="Calibri" w:cs="Calibri"/>
          <w:sz w:val="22"/>
          <w:szCs w:val="24"/>
          <w:vertAlign w:val="superscript"/>
        </w:rPr>
        <w:t>1,2</w:t>
      </w:r>
      <w:r w:rsidRPr="00FF439E">
        <w:rPr>
          <w:sz w:val="22"/>
          <w:szCs w:val="22"/>
        </w:rPr>
        <w:fldChar w:fldCharType="end"/>
      </w:r>
      <w:r w:rsidRPr="00FF439E">
        <w:rPr>
          <w:sz w:val="22"/>
          <w:szCs w:val="22"/>
        </w:rPr>
        <w:t xml:space="preserve"> </w:t>
      </w:r>
      <w:r w:rsidR="005E5952">
        <w:rPr>
          <w:sz w:val="22"/>
          <w:szCs w:val="22"/>
        </w:rPr>
        <w:t xml:space="preserve"> Overall, nearly 450,000 people died of an opioid-related overdose between 1999 and 2018,</w:t>
      </w:r>
      <w:r w:rsidR="005E1CCC">
        <w:rPr>
          <w:sz w:val="22"/>
          <w:szCs w:val="22"/>
        </w:rPr>
        <w:fldChar w:fldCharType="begin"/>
      </w:r>
      <w:r w:rsidR="005E1CCC">
        <w:rPr>
          <w:sz w:val="22"/>
          <w:szCs w:val="22"/>
        </w:rPr>
        <w:instrText xml:space="preserve"> ADDIN ZOTERO_ITEM CSL_CITATION {"citationID":"IB2w5DL7","properties":{"formattedCitation":"\\super 3\\nosupersub{}","plainCitation":"3","noteIndex":0},"citationItems":[{"id":1422,"uris":["http://zotero.org/users/454081/items/BHMLNMW7"],"uri":["http://zotero.org/users/454081/items/BHMLNMW7"],"itemData":{"id":1422,"type":"webpage","container-title":"Available at http://wonder.cdc.gov.","title":"Wide-ranging online data for epidemiologic research (WONDER).","author":[{"literal":"CDC, National Center for Health Statistics"}],"issued":{"date-parts":[["2020"]]}}}],"schema":"https://github.com/citation-style-language/schema/raw/master/csl-citation.json"} </w:instrText>
      </w:r>
      <w:r w:rsidR="005E1CCC">
        <w:rPr>
          <w:sz w:val="22"/>
          <w:szCs w:val="22"/>
        </w:rPr>
        <w:fldChar w:fldCharType="separate"/>
      </w:r>
      <w:r w:rsidR="005E1CCC" w:rsidRPr="005E1CCC">
        <w:rPr>
          <w:rFonts w:ascii="Calibri" w:hAnsi="Calibri" w:cs="Calibri"/>
          <w:sz w:val="22"/>
          <w:szCs w:val="24"/>
          <w:vertAlign w:val="superscript"/>
        </w:rPr>
        <w:t>3</w:t>
      </w:r>
      <w:r w:rsidR="005E1CCC">
        <w:rPr>
          <w:sz w:val="22"/>
          <w:szCs w:val="22"/>
        </w:rPr>
        <w:fldChar w:fldCharType="end"/>
      </w:r>
      <w:r w:rsidR="005E5952">
        <w:rPr>
          <w:sz w:val="22"/>
          <w:szCs w:val="22"/>
        </w:rPr>
        <w:t xml:space="preserve"> and signs of significant increases in opioid-related overdoses and accidental deaths have been noted during the early stages of t</w:t>
      </w:r>
      <w:r w:rsidR="005E5952" w:rsidRPr="00FF439E">
        <w:rPr>
          <w:sz w:val="22"/>
          <w:szCs w:val="22"/>
        </w:rPr>
        <w:t>he</w:t>
      </w:r>
      <w:r w:rsidR="00973BF1">
        <w:rPr>
          <w:sz w:val="22"/>
          <w:szCs w:val="22"/>
        </w:rPr>
        <w:t xml:space="preserve"> SARS-</w:t>
      </w:r>
      <w:r w:rsidR="00C07F80">
        <w:rPr>
          <w:sz w:val="22"/>
          <w:szCs w:val="22"/>
        </w:rPr>
        <w:t>CoV</w:t>
      </w:r>
      <w:r w:rsidR="00973BF1">
        <w:rPr>
          <w:sz w:val="22"/>
          <w:szCs w:val="22"/>
        </w:rPr>
        <w:t>-2</w:t>
      </w:r>
      <w:r w:rsidR="005E5952" w:rsidRPr="00FF439E">
        <w:rPr>
          <w:sz w:val="22"/>
          <w:szCs w:val="22"/>
        </w:rPr>
        <w:t xml:space="preserve"> </w:t>
      </w:r>
      <w:r w:rsidR="00973BF1">
        <w:rPr>
          <w:sz w:val="22"/>
          <w:szCs w:val="22"/>
        </w:rPr>
        <w:t>(</w:t>
      </w:r>
      <w:r w:rsidR="005E5952" w:rsidRPr="00FF439E">
        <w:rPr>
          <w:sz w:val="22"/>
          <w:szCs w:val="22"/>
        </w:rPr>
        <w:t>COVID-19</w:t>
      </w:r>
      <w:r w:rsidR="00973BF1">
        <w:rPr>
          <w:sz w:val="22"/>
          <w:szCs w:val="22"/>
        </w:rPr>
        <w:t>)</w:t>
      </w:r>
      <w:r w:rsidR="005E5952" w:rsidRPr="00FF439E">
        <w:rPr>
          <w:sz w:val="22"/>
          <w:szCs w:val="22"/>
        </w:rPr>
        <w:t xml:space="preserve"> pandemic </w:t>
      </w:r>
      <w:r w:rsidR="005E5952">
        <w:rPr>
          <w:sz w:val="22"/>
          <w:szCs w:val="22"/>
        </w:rPr>
        <w:t>in 2020.</w:t>
      </w:r>
      <w:r w:rsidR="005E1CCC">
        <w:rPr>
          <w:sz w:val="22"/>
          <w:szCs w:val="22"/>
        </w:rPr>
        <w:fldChar w:fldCharType="begin"/>
      </w:r>
      <w:r w:rsidR="005E1CCC">
        <w:rPr>
          <w:sz w:val="22"/>
          <w:szCs w:val="22"/>
        </w:rPr>
        <w:instrText xml:space="preserve"> ADDIN ZOTERO_ITEM CSL_CITATION {"citationID":"kbMFVP9q","properties":{"formattedCitation":"\\super 4\\nosupersub{}","plainCitation":"4","noteIndex":0},"citationItems":[{"id":1423,"uris":["http://zotero.org/users/454081/items/X8JGANPC"],"uri":["http://zotero.org/users/454081/items/X8JGANPC"],"itemData":{"id":1423,"type":"article-journal","container-title":"Journal of Urban Health","DOI":"10.1007/s11524-020-00486-y","ISSN":"1468-2869","journalAbbreviation":"J Urban Health","language":"en","source":"Springer Link","title":"Opioid Overdose–Related Emergency Department Visits and Accidental Deaths during the COVID-19 Pandemic","URL":"https://doi.org/10.1007/s11524-020-00486-y","author":[{"family":"Rodda","given":"Luke N."},{"family":"West","given":"Kelsa L."},{"family":"LeSaint","given":"Kathy T."}],"accessed":{"date-parts":[["2020",10,30]]},"issued":{"date-parts":[["2020",9,28]]}}}],"schema":"https://github.com/citation-style-language/schema/raw/master/csl-citation.json"} </w:instrText>
      </w:r>
      <w:r w:rsidR="005E1CCC">
        <w:rPr>
          <w:sz w:val="22"/>
          <w:szCs w:val="22"/>
        </w:rPr>
        <w:fldChar w:fldCharType="separate"/>
      </w:r>
      <w:r w:rsidR="005E1CCC" w:rsidRPr="005E1CCC">
        <w:rPr>
          <w:rFonts w:ascii="Calibri" w:hAnsi="Calibri" w:cs="Calibri"/>
          <w:sz w:val="22"/>
          <w:szCs w:val="24"/>
          <w:vertAlign w:val="superscript"/>
        </w:rPr>
        <w:t>4</w:t>
      </w:r>
      <w:r w:rsidR="005E1CCC">
        <w:rPr>
          <w:sz w:val="22"/>
          <w:szCs w:val="22"/>
        </w:rPr>
        <w:fldChar w:fldCharType="end"/>
      </w:r>
    </w:p>
    <w:p w14:paraId="53C4BE3D" w14:textId="474E697A" w:rsidR="00D82D72" w:rsidRDefault="00BB4BFB" w:rsidP="00D82D72">
      <w:pPr>
        <w:rPr>
          <w:sz w:val="22"/>
          <w:szCs w:val="22"/>
        </w:rPr>
      </w:pPr>
      <w:r w:rsidRPr="00FF439E">
        <w:rPr>
          <w:sz w:val="22"/>
          <w:szCs w:val="22"/>
        </w:rPr>
        <w:t xml:space="preserve">Although the opioid epidemic is a public health issue of national concern, the rate of all opioid-related fatalities in Wyoming is considerably lower than the most recent reported national rate. CDC data indicate that in 2018 there were 66 total </w:t>
      </w:r>
      <w:r w:rsidR="00AA5A23">
        <w:rPr>
          <w:sz w:val="22"/>
          <w:szCs w:val="22"/>
        </w:rPr>
        <w:t xml:space="preserve">fatal </w:t>
      </w:r>
      <w:r w:rsidRPr="00FF439E">
        <w:rPr>
          <w:sz w:val="22"/>
          <w:szCs w:val="22"/>
        </w:rPr>
        <w:t xml:space="preserve">drug overdoses in </w:t>
      </w:r>
      <w:r>
        <w:rPr>
          <w:sz w:val="22"/>
          <w:szCs w:val="22"/>
        </w:rPr>
        <w:t xml:space="preserve">the state of </w:t>
      </w:r>
      <w:r w:rsidRPr="00FF439E">
        <w:rPr>
          <w:sz w:val="22"/>
          <w:szCs w:val="22"/>
        </w:rPr>
        <w:t xml:space="preserve">Wyoming, </w:t>
      </w:r>
      <w:r w:rsidR="00AA5A23">
        <w:rPr>
          <w:sz w:val="22"/>
          <w:szCs w:val="22"/>
        </w:rPr>
        <w:t xml:space="preserve">of which </w:t>
      </w:r>
      <w:r w:rsidRPr="00FF439E">
        <w:rPr>
          <w:sz w:val="22"/>
          <w:szCs w:val="22"/>
        </w:rPr>
        <w:t>40 involved opioids</w:t>
      </w:r>
      <w:r w:rsidR="00AA5A23">
        <w:rPr>
          <w:sz w:val="22"/>
          <w:szCs w:val="22"/>
        </w:rPr>
        <w:t xml:space="preserve">. Of those 40 deaths, </w:t>
      </w:r>
      <w:r w:rsidRPr="00FF439E">
        <w:rPr>
          <w:sz w:val="22"/>
          <w:szCs w:val="22"/>
        </w:rPr>
        <w:t>28 (6.8 per 100,000) involved prescription opioids (4.6 per 100,000).</w:t>
      </w:r>
      <w:r w:rsidRPr="00FF439E">
        <w:rPr>
          <w:sz w:val="22"/>
          <w:szCs w:val="22"/>
        </w:rPr>
        <w:fldChar w:fldCharType="begin"/>
      </w:r>
      <w:r w:rsidR="005E1CCC">
        <w:rPr>
          <w:sz w:val="22"/>
          <w:szCs w:val="22"/>
        </w:rPr>
        <w:instrText xml:space="preserve"> ADDIN ZOTERO_ITEM CSL_CITATION {"citationID":"xdxR0gq3","properties":{"formattedCitation":"\\super 5\\nosupersub{}","plainCitation":"5","noteIndex":0},"citationItems":[{"id":1159,"uris":["http://zotero.org/users/454081/items/7JSIAFTC"],"uri":["http://zotero.org/users/454081/items/7JSIAFTC"],"itemData":{"id":1159,"type":"webpage","abstract":"Drug-Involved Overdose Deaths\n\nIn the U.S., there were 67,367 drug overdose deaths reported in 2018, 4.1% fewer deaths than in 2017.","container-title":"National Institute on Drug Abuse","language":"en","title":"Wyoming: Opioid-Involved Deaths and Related Harms","title-short":"Wyoming","URL":"https://www.drugabuse.gov/drug-topics/opioids/opioid-summaries-by-state/wyoming-opioid-involved-deaths-related-harms","author":[{"family":"Abuse","given":"National Institute on Drug"}],"accessed":{"date-parts":[["2020",8,14]]},"issued":{"date-parts":[["2020",4,3]]}}}],"schema":"https://github.com/citation-style-language/schema/raw/master/csl-citation.json"} </w:instrText>
      </w:r>
      <w:r w:rsidRPr="00FF439E">
        <w:rPr>
          <w:sz w:val="22"/>
          <w:szCs w:val="22"/>
        </w:rPr>
        <w:fldChar w:fldCharType="separate"/>
      </w:r>
      <w:r w:rsidR="005E1CCC" w:rsidRPr="005E1CCC">
        <w:rPr>
          <w:rFonts w:ascii="Calibri" w:hAnsi="Calibri" w:cs="Calibri"/>
          <w:sz w:val="22"/>
          <w:szCs w:val="24"/>
          <w:vertAlign w:val="superscript"/>
        </w:rPr>
        <w:t>5</w:t>
      </w:r>
      <w:r w:rsidRPr="00FF439E">
        <w:rPr>
          <w:sz w:val="22"/>
          <w:szCs w:val="22"/>
        </w:rPr>
        <w:fldChar w:fldCharType="end"/>
      </w:r>
      <w:r w:rsidRPr="00FF439E">
        <w:rPr>
          <w:sz w:val="22"/>
          <w:szCs w:val="22"/>
        </w:rPr>
        <w:t xml:space="preserve"> </w:t>
      </w:r>
    </w:p>
    <w:p w14:paraId="794E3165" w14:textId="18C874CB" w:rsidR="0037658C" w:rsidRDefault="0037658C" w:rsidP="00D82D72">
      <w:pPr>
        <w:rPr>
          <w:sz w:val="22"/>
          <w:szCs w:val="22"/>
        </w:rPr>
      </w:pPr>
      <w:r>
        <w:rPr>
          <w:sz w:val="22"/>
          <w:szCs w:val="22"/>
        </w:rPr>
        <w:t xml:space="preserve">In 2020, a team comprised of researchers from the Department of Public Health and Community Medicine at </w:t>
      </w:r>
      <w:r w:rsidR="00953307">
        <w:rPr>
          <w:sz w:val="22"/>
          <w:szCs w:val="22"/>
        </w:rPr>
        <w:t xml:space="preserve">the </w:t>
      </w:r>
      <w:r>
        <w:rPr>
          <w:sz w:val="22"/>
          <w:szCs w:val="22"/>
        </w:rPr>
        <w:t>Tufts University’s School of Medicine collaborated with staff from the Wyoming Department of Health (WY-DOH), the Centers for Disease Control and Prevention (CDC), and the Council of State and Territorial Epidemiologists (CSTE) to conduct an assessment of opioid overdose vulnerability. We created a series of risk maps to visually describe the spatial distribution of core measures and covariates associated with opioid-related mortality</w:t>
      </w:r>
      <w:r w:rsidR="00C53A0D">
        <w:rPr>
          <w:sz w:val="22"/>
          <w:szCs w:val="22"/>
        </w:rPr>
        <w:t>.</w:t>
      </w:r>
      <w:r w:rsidR="00D3093A">
        <w:rPr>
          <w:sz w:val="22"/>
          <w:szCs w:val="22"/>
        </w:rPr>
        <w:t xml:space="preserve"> Core measures included rates of opioid-related overdose, chronic hepatitis C virus (HCV) among individuals under </w:t>
      </w:r>
      <w:r w:rsidR="00C07F80">
        <w:rPr>
          <w:sz w:val="22"/>
          <w:szCs w:val="22"/>
        </w:rPr>
        <w:t xml:space="preserve">36 </w:t>
      </w:r>
      <w:r w:rsidR="005E5952">
        <w:rPr>
          <w:sz w:val="22"/>
          <w:szCs w:val="22"/>
        </w:rPr>
        <w:t>years</w:t>
      </w:r>
      <w:r w:rsidR="00D3093A">
        <w:rPr>
          <w:sz w:val="22"/>
          <w:szCs w:val="22"/>
        </w:rPr>
        <w:t>, opioid prescriptions, drug</w:t>
      </w:r>
      <w:r w:rsidR="007A1540">
        <w:rPr>
          <w:sz w:val="22"/>
          <w:szCs w:val="22"/>
        </w:rPr>
        <w:t>-</w:t>
      </w:r>
      <w:r w:rsidR="00D3093A">
        <w:rPr>
          <w:sz w:val="22"/>
          <w:szCs w:val="22"/>
        </w:rPr>
        <w:t>related crime and per capita income.</w:t>
      </w:r>
      <w:r>
        <w:rPr>
          <w:sz w:val="22"/>
          <w:szCs w:val="22"/>
        </w:rPr>
        <w:t xml:space="preserve"> </w:t>
      </w:r>
      <w:r w:rsidR="00D3093A">
        <w:rPr>
          <w:sz w:val="22"/>
          <w:szCs w:val="22"/>
        </w:rPr>
        <w:t>Our covariates included socioeconomic and demographic data from the American Community Survey.</w:t>
      </w:r>
      <w:r w:rsidR="00C86F17">
        <w:rPr>
          <w:sz w:val="22"/>
          <w:szCs w:val="22"/>
        </w:rPr>
        <w:fldChar w:fldCharType="begin"/>
      </w:r>
      <w:r w:rsidR="00C86F17">
        <w:rPr>
          <w:sz w:val="22"/>
          <w:szCs w:val="22"/>
        </w:rPr>
        <w:instrText xml:space="preserve"> ADDIN ZOTERO_ITEM CSL_CITATION {"citationID":"1ZuseS6E","properties":{"formattedCitation":"\\super 6\\nosupersub{}","plainCitation":"6","noteIndex":0},"citationItems":[{"id":68,"uris":["http://zotero.org/users/454081/items/RX9DSN2L"],"uri":["http://zotero.org/users/454081/items/RX9DSN2L"],"itemData":{"id":68,"type":"webpage","title":"American Community Survey, ACS 2014-2018 5-Year Estimates","URL":"https://www.census.gov/acs/www/data/data-tables-and-tools/data-profiles/","author":[{"family":"U.S. Census Bureau","given":""}],"issued":{"date-parts":[["2018"]]}}}],"schema":"https://github.com/citation-style-language/schema/raw/master/csl-citation.json"} </w:instrText>
      </w:r>
      <w:r w:rsidR="00C86F17">
        <w:rPr>
          <w:sz w:val="22"/>
          <w:szCs w:val="22"/>
        </w:rPr>
        <w:fldChar w:fldCharType="separate"/>
      </w:r>
      <w:r w:rsidR="00C86F17" w:rsidRPr="00C86F17">
        <w:rPr>
          <w:rFonts w:ascii="Calibri" w:hAnsi="Calibri" w:cs="Calibri"/>
          <w:sz w:val="22"/>
          <w:szCs w:val="24"/>
          <w:vertAlign w:val="superscript"/>
        </w:rPr>
        <w:t>6</w:t>
      </w:r>
      <w:r w:rsidR="00C86F17">
        <w:rPr>
          <w:sz w:val="22"/>
          <w:szCs w:val="22"/>
        </w:rPr>
        <w:fldChar w:fldCharType="end"/>
      </w:r>
      <w:r w:rsidR="00D3093A">
        <w:rPr>
          <w:sz w:val="22"/>
          <w:szCs w:val="22"/>
        </w:rPr>
        <w:t xml:space="preserve"> </w:t>
      </w:r>
      <w:r>
        <w:rPr>
          <w:sz w:val="22"/>
          <w:szCs w:val="22"/>
        </w:rPr>
        <w:t xml:space="preserve">Using these same indicators, we calculated </w:t>
      </w:r>
      <w:r w:rsidR="005E5952">
        <w:rPr>
          <w:sz w:val="22"/>
          <w:szCs w:val="22"/>
        </w:rPr>
        <w:t xml:space="preserve">composite </w:t>
      </w:r>
      <w:r>
        <w:rPr>
          <w:sz w:val="22"/>
          <w:szCs w:val="22"/>
        </w:rPr>
        <w:t>vulnerability scores to identify counties at high</w:t>
      </w:r>
      <w:r w:rsidR="00436C7F">
        <w:rPr>
          <w:sz w:val="22"/>
          <w:szCs w:val="22"/>
        </w:rPr>
        <w:t>er</w:t>
      </w:r>
      <w:r>
        <w:rPr>
          <w:sz w:val="22"/>
          <w:szCs w:val="22"/>
        </w:rPr>
        <w:t xml:space="preserve"> risk for opioid-related fatalities</w:t>
      </w:r>
      <w:r w:rsidR="00772AD7">
        <w:rPr>
          <w:sz w:val="22"/>
          <w:szCs w:val="22"/>
        </w:rPr>
        <w:t xml:space="preserve"> and associated infections from injection drug use</w:t>
      </w:r>
      <w:r>
        <w:rPr>
          <w:sz w:val="22"/>
          <w:szCs w:val="22"/>
        </w:rPr>
        <w:t xml:space="preserve">. </w:t>
      </w:r>
      <w:r w:rsidR="00C53A0D">
        <w:rPr>
          <w:sz w:val="22"/>
          <w:szCs w:val="22"/>
        </w:rPr>
        <w:t xml:space="preserve">We also mapped the location of </w:t>
      </w:r>
      <w:r w:rsidR="005E5952">
        <w:rPr>
          <w:sz w:val="22"/>
          <w:szCs w:val="22"/>
        </w:rPr>
        <w:t xml:space="preserve">substance use </w:t>
      </w:r>
      <w:r w:rsidR="00C53A0D">
        <w:rPr>
          <w:sz w:val="22"/>
          <w:szCs w:val="22"/>
        </w:rPr>
        <w:t>treatment and prevention assets by county and conducted drive-time and population-based accessibility analyses to i</w:t>
      </w:r>
      <w:r w:rsidR="00782595">
        <w:rPr>
          <w:sz w:val="22"/>
          <w:szCs w:val="22"/>
        </w:rPr>
        <w:t xml:space="preserve">dentify locations where vulnerability to opioid overdose death </w:t>
      </w:r>
      <w:r w:rsidR="002D532B">
        <w:rPr>
          <w:sz w:val="22"/>
          <w:szCs w:val="22"/>
        </w:rPr>
        <w:t>was</w:t>
      </w:r>
      <w:r w:rsidR="00782595">
        <w:rPr>
          <w:sz w:val="22"/>
          <w:szCs w:val="22"/>
        </w:rPr>
        <w:t xml:space="preserve"> high but access to treatment </w:t>
      </w:r>
      <w:r w:rsidR="002D532B">
        <w:rPr>
          <w:sz w:val="22"/>
          <w:szCs w:val="22"/>
        </w:rPr>
        <w:t>was limited.</w:t>
      </w:r>
    </w:p>
    <w:p w14:paraId="008E025F" w14:textId="64B75A74" w:rsidR="00D82D72" w:rsidRDefault="007658F2">
      <w:r>
        <w:rPr>
          <w:sz w:val="22"/>
          <w:szCs w:val="22"/>
        </w:rPr>
        <w:t xml:space="preserve">Our findings identified Hot Springs, </w:t>
      </w:r>
      <w:r w:rsidR="005E1CCC">
        <w:rPr>
          <w:sz w:val="22"/>
          <w:szCs w:val="22"/>
        </w:rPr>
        <w:t xml:space="preserve">Carbon, </w:t>
      </w:r>
      <w:r w:rsidR="00436C7F">
        <w:rPr>
          <w:sz w:val="22"/>
          <w:szCs w:val="22"/>
        </w:rPr>
        <w:t>Natrona</w:t>
      </w:r>
      <w:r w:rsidR="005E1CCC">
        <w:rPr>
          <w:sz w:val="22"/>
          <w:szCs w:val="22"/>
        </w:rPr>
        <w:t>, Fremont, and Sweetwater</w:t>
      </w:r>
      <w:r w:rsidR="00436C7F">
        <w:rPr>
          <w:sz w:val="22"/>
          <w:szCs w:val="22"/>
        </w:rPr>
        <w:t xml:space="preserve"> </w:t>
      </w:r>
      <w:r>
        <w:rPr>
          <w:sz w:val="22"/>
          <w:szCs w:val="22"/>
        </w:rPr>
        <w:t xml:space="preserve">counties to be the most vulnerable to opioid-related </w:t>
      </w:r>
      <w:r w:rsidR="00973BF1">
        <w:rPr>
          <w:sz w:val="22"/>
          <w:szCs w:val="22"/>
        </w:rPr>
        <w:t>outcomes</w:t>
      </w:r>
      <w:r>
        <w:rPr>
          <w:sz w:val="22"/>
          <w:szCs w:val="22"/>
        </w:rPr>
        <w:t xml:space="preserve">. </w:t>
      </w:r>
      <w:r w:rsidR="00DE38D1">
        <w:rPr>
          <w:sz w:val="22"/>
          <w:szCs w:val="22"/>
        </w:rPr>
        <w:t>Although these counties</w:t>
      </w:r>
      <w:r w:rsidR="00A826E4">
        <w:rPr>
          <w:sz w:val="22"/>
          <w:szCs w:val="22"/>
        </w:rPr>
        <w:t xml:space="preserve"> typically had more services and shorter driving times (</w:t>
      </w:r>
      <w:r w:rsidR="00DE38D1">
        <w:rPr>
          <w:sz w:val="22"/>
          <w:szCs w:val="22"/>
        </w:rPr>
        <w:t>Carbon</w:t>
      </w:r>
      <w:r w:rsidR="005E1CCC">
        <w:rPr>
          <w:sz w:val="22"/>
          <w:szCs w:val="22"/>
        </w:rPr>
        <w:t xml:space="preserve"> </w:t>
      </w:r>
      <w:r w:rsidR="00DE38D1">
        <w:rPr>
          <w:sz w:val="22"/>
          <w:szCs w:val="22"/>
        </w:rPr>
        <w:t>and Sweetwater</w:t>
      </w:r>
      <w:r w:rsidR="00A826E4">
        <w:rPr>
          <w:sz w:val="22"/>
          <w:szCs w:val="22"/>
        </w:rPr>
        <w:t xml:space="preserve"> are also</w:t>
      </w:r>
      <w:r w:rsidR="00DE38D1">
        <w:rPr>
          <w:sz w:val="22"/>
          <w:szCs w:val="22"/>
        </w:rPr>
        <w:t xml:space="preserve"> closer to out-of-state services</w:t>
      </w:r>
      <w:r w:rsidR="00A826E4">
        <w:rPr>
          <w:sz w:val="22"/>
          <w:szCs w:val="22"/>
        </w:rPr>
        <w:t>)</w:t>
      </w:r>
      <w:r w:rsidR="00DE38D1">
        <w:rPr>
          <w:sz w:val="22"/>
          <w:szCs w:val="22"/>
        </w:rPr>
        <w:t xml:space="preserve"> </w:t>
      </w:r>
      <w:r w:rsidR="002D532B">
        <w:rPr>
          <w:sz w:val="22"/>
          <w:szCs w:val="22"/>
        </w:rPr>
        <w:t>there appear to be unmet needs tied</w:t>
      </w:r>
      <w:r w:rsidR="005801CE">
        <w:rPr>
          <w:sz w:val="22"/>
          <w:szCs w:val="22"/>
        </w:rPr>
        <w:t xml:space="preserve"> </w:t>
      </w:r>
      <w:r w:rsidR="00973BF1">
        <w:rPr>
          <w:sz w:val="22"/>
          <w:szCs w:val="22"/>
        </w:rPr>
        <w:t xml:space="preserve">to </w:t>
      </w:r>
      <w:r w:rsidR="005801CE">
        <w:rPr>
          <w:sz w:val="22"/>
          <w:szCs w:val="22"/>
        </w:rPr>
        <w:t xml:space="preserve">opioid-related treatment services. Higher rates of opioid prescribing in these vulnerable counties may also indicate a need for education and outreach related to </w:t>
      </w:r>
      <w:r w:rsidR="00436C7F">
        <w:rPr>
          <w:sz w:val="22"/>
          <w:szCs w:val="22"/>
        </w:rPr>
        <w:t>potentially inappropriate prescribing</w:t>
      </w:r>
      <w:r w:rsidR="005801CE">
        <w:rPr>
          <w:sz w:val="22"/>
          <w:szCs w:val="22"/>
        </w:rPr>
        <w:t xml:space="preserve">. </w:t>
      </w:r>
      <w:r w:rsidR="002D532B">
        <w:rPr>
          <w:sz w:val="22"/>
          <w:szCs w:val="22"/>
        </w:rPr>
        <w:t>Interventions</w:t>
      </w:r>
      <w:r w:rsidR="006E7D57">
        <w:rPr>
          <w:sz w:val="22"/>
          <w:szCs w:val="22"/>
        </w:rPr>
        <w:t xml:space="preserve"> that reduce opioid prescribing and increase access to treatment and harm reduction </w:t>
      </w:r>
      <w:r w:rsidR="002D532B">
        <w:rPr>
          <w:sz w:val="22"/>
          <w:szCs w:val="22"/>
        </w:rPr>
        <w:t xml:space="preserve">services </w:t>
      </w:r>
      <w:r w:rsidR="006E7D57">
        <w:rPr>
          <w:sz w:val="22"/>
          <w:szCs w:val="22"/>
        </w:rPr>
        <w:t xml:space="preserve">have the potential to prevent and protect Wyoming citizens from </w:t>
      </w:r>
      <w:r w:rsidR="00D82EBA">
        <w:rPr>
          <w:sz w:val="22"/>
          <w:szCs w:val="22"/>
        </w:rPr>
        <w:t>opioid overdose and associated outcomes</w:t>
      </w:r>
      <w:r w:rsidR="006E7D57">
        <w:rPr>
          <w:sz w:val="22"/>
          <w:szCs w:val="22"/>
        </w:rPr>
        <w:t>.</w:t>
      </w:r>
      <w:r w:rsidR="00D82D72">
        <w:br w:type="page"/>
      </w:r>
    </w:p>
    <w:p w14:paraId="367DD6F5" w14:textId="26DEB28F" w:rsidR="00D82D72" w:rsidRDefault="00DA22A2" w:rsidP="00D82D72">
      <w:pPr>
        <w:pStyle w:val="Heading1"/>
      </w:pPr>
      <w:bookmarkStart w:id="2" w:name="_Toc61961291"/>
      <w:r>
        <w:lastRenderedPageBreak/>
        <w:t>B</w:t>
      </w:r>
      <w:r w:rsidR="00D82D72">
        <w:t>ackground</w:t>
      </w:r>
      <w:bookmarkEnd w:id="2"/>
    </w:p>
    <w:p w14:paraId="1746C5EB" w14:textId="27C9E2A7" w:rsidR="00AC2EAF" w:rsidRDefault="00D20E2D" w:rsidP="00AC2EAF">
      <w:pPr>
        <w:rPr>
          <w:sz w:val="22"/>
          <w:szCs w:val="22"/>
        </w:rPr>
      </w:pPr>
      <w:r w:rsidRPr="00FF439E">
        <w:rPr>
          <w:sz w:val="22"/>
          <w:szCs w:val="22"/>
        </w:rPr>
        <w:t xml:space="preserve">The opioid overdose crisis, attributed to the use of prescription opioids, heroin, and synthetic opioids (e.g., fentanyl), has been one of the most significant challenges to public health in the United States in decades. </w:t>
      </w:r>
      <w:r w:rsidR="0063278F">
        <w:rPr>
          <w:sz w:val="22"/>
          <w:szCs w:val="22"/>
        </w:rPr>
        <w:t>F</w:t>
      </w:r>
      <w:r w:rsidR="007E0B98">
        <w:rPr>
          <w:sz w:val="22"/>
          <w:szCs w:val="22"/>
        </w:rPr>
        <w:t xml:space="preserve">atal overdose </w:t>
      </w:r>
      <w:r w:rsidRPr="00FF439E">
        <w:rPr>
          <w:sz w:val="22"/>
          <w:szCs w:val="22"/>
        </w:rPr>
        <w:t>rate</w:t>
      </w:r>
      <w:r w:rsidR="007E0B98">
        <w:rPr>
          <w:sz w:val="22"/>
          <w:szCs w:val="22"/>
        </w:rPr>
        <w:t>s</w:t>
      </w:r>
      <w:r w:rsidRPr="00FF439E">
        <w:rPr>
          <w:sz w:val="22"/>
          <w:szCs w:val="22"/>
        </w:rPr>
        <w:t xml:space="preserve"> associated with opioid </w:t>
      </w:r>
      <w:r w:rsidR="007E0B98">
        <w:rPr>
          <w:sz w:val="22"/>
          <w:szCs w:val="22"/>
        </w:rPr>
        <w:t xml:space="preserve">use </w:t>
      </w:r>
      <w:r w:rsidRPr="00FF439E">
        <w:rPr>
          <w:sz w:val="22"/>
          <w:szCs w:val="22"/>
        </w:rPr>
        <w:t>steadily increased nationwide beginning in 199</w:t>
      </w:r>
      <w:r w:rsidR="007E0B98">
        <w:rPr>
          <w:sz w:val="22"/>
          <w:szCs w:val="22"/>
        </w:rPr>
        <w:t>9</w:t>
      </w:r>
      <w:r w:rsidRPr="00FF439E">
        <w:rPr>
          <w:sz w:val="22"/>
          <w:szCs w:val="22"/>
        </w:rPr>
        <w:t>, following the introduction of prescription opioid pain reliever</w:t>
      </w:r>
      <w:r w:rsidR="00AB1078">
        <w:rPr>
          <w:sz w:val="22"/>
          <w:szCs w:val="22"/>
        </w:rPr>
        <w:t>s. Overdose</w:t>
      </w:r>
      <w:r w:rsidR="007E0B98">
        <w:rPr>
          <w:sz w:val="22"/>
          <w:szCs w:val="22"/>
        </w:rPr>
        <w:t>s</w:t>
      </w:r>
      <w:r w:rsidR="00AB1078">
        <w:rPr>
          <w:sz w:val="22"/>
          <w:szCs w:val="22"/>
        </w:rPr>
        <w:t xml:space="preserve"> related to prescribed opioids began leveling off by 2010, only to be followed by major increases in deaths attributed to heroin, followed by</w:t>
      </w:r>
      <w:r w:rsidRPr="00FF439E">
        <w:rPr>
          <w:sz w:val="22"/>
          <w:szCs w:val="22"/>
        </w:rPr>
        <w:t xml:space="preserve"> fentanyl’s appearance in the illicit drug supply</w:t>
      </w:r>
      <w:r w:rsidR="007E0B98">
        <w:rPr>
          <w:sz w:val="22"/>
          <w:szCs w:val="22"/>
        </w:rPr>
        <w:t>, which</w:t>
      </w:r>
      <w:r w:rsidRPr="00FF439E">
        <w:rPr>
          <w:sz w:val="22"/>
          <w:szCs w:val="22"/>
        </w:rPr>
        <w:t xml:space="preserve"> caused a much sharper increase in mortality beginning in 2013.</w:t>
      </w:r>
      <w:r w:rsidRPr="00FF439E">
        <w:rPr>
          <w:sz w:val="22"/>
          <w:szCs w:val="22"/>
        </w:rPr>
        <w:fldChar w:fldCharType="begin"/>
      </w:r>
      <w:r w:rsidR="00E3524D">
        <w:rPr>
          <w:sz w:val="22"/>
          <w:szCs w:val="22"/>
        </w:rPr>
        <w:instrText xml:space="preserve"> ADDIN ZOTERO_ITEM CSL_CITATION {"citationID":"PruxRvFr","properties":{"formattedCitation":"\\super 1\\nosupersub{}","plainCitation":"1","noteIndex":0},"citationItems":[{"id":72,"uris":["http://zotero.org/users/454081/items/38FMA6RX"],"uri":["http://zotero.org/users/454081/items/38FMA6RX"],"itemData":{"id":72,"type":"article-journal","language":"en","page":"9","source":"Zotero","title":"Drug and Opioid-Involved Overdose Deaths — United States, 2013–2017","volume":"67","author":[{"family":"Scholl","given":"Lawrence"},{"family":"Seth","given":"Puja"},{"family":"Kariisa","given":"Mbabazi"},{"family":"Wilson","given":"Nana"},{"family":"Baldwin","given":"Grant"}],"issued":{"date-parts":[["2019"]]}}}],"schema":"https://github.com/citation-style-language/schema/raw/master/csl-citation.json"} </w:instrText>
      </w:r>
      <w:r w:rsidRPr="00FF439E">
        <w:rPr>
          <w:sz w:val="22"/>
          <w:szCs w:val="22"/>
        </w:rPr>
        <w:fldChar w:fldCharType="separate"/>
      </w:r>
      <w:r w:rsidRPr="00FF439E">
        <w:rPr>
          <w:rFonts w:ascii="Calibri" w:hAnsi="Calibri" w:cs="Calibri"/>
          <w:sz w:val="22"/>
          <w:szCs w:val="22"/>
          <w:vertAlign w:val="superscript"/>
        </w:rPr>
        <w:t>1</w:t>
      </w:r>
      <w:r w:rsidRPr="00FF439E">
        <w:rPr>
          <w:sz w:val="22"/>
          <w:szCs w:val="22"/>
        </w:rPr>
        <w:fldChar w:fldCharType="end"/>
      </w:r>
      <w:r w:rsidRPr="00FF439E">
        <w:rPr>
          <w:sz w:val="22"/>
          <w:szCs w:val="22"/>
        </w:rPr>
        <w:t xml:space="preserve"> The U.S. Centers for Disease Control and Prevention (CDC) reported a record number of overdose deaths in 2016 (63,632, an age-adjusted rate of 19.8 per 100,000 population), of which two-thirds (66.4%, 42,249 deaths) involved an opioid.</w:t>
      </w:r>
      <w:r w:rsidRPr="00FF439E">
        <w:rPr>
          <w:sz w:val="22"/>
          <w:szCs w:val="22"/>
        </w:rPr>
        <w:fldChar w:fldCharType="begin"/>
      </w:r>
      <w:r w:rsidR="00C86F17">
        <w:rPr>
          <w:sz w:val="22"/>
          <w:szCs w:val="22"/>
        </w:rPr>
        <w:instrText xml:space="preserve"> ADDIN ZOTERO_ITEM CSL_CITATION {"citationID":"utfEIvZN","properties":{"formattedCitation":"\\super 7\\nosupersub{}","plainCitation":"7","noteIndex":0},"citationItems":[{"id":67,"uris":["http://zotero.org/users/454081/items/IL2ESVGQ"],"uri":["http://zotero.org/users/454081/items/IL2ESVGQ"],"itemData":{"id":67,"type":"report","publisher":"U.S. Department of Health and Human Services","title":"2018 Annual Surveillance Report of Drug-Related Risks and Outcomes--United States. Surveillance Special Report.","URL":"https://www.cdc.gov/drugoverdose/pdf/pubs/2018-cdc-drug-surveillance-report.pdf","author":[{"family":"Centers for Disease Control and Prevention","given":""}],"issued":{"date-parts":[["2018",8]]}}}],"schema":"https://github.com/citation-style-language/schema/raw/master/csl-citation.json"} </w:instrText>
      </w:r>
      <w:r w:rsidRPr="00FF439E">
        <w:rPr>
          <w:sz w:val="22"/>
          <w:szCs w:val="22"/>
        </w:rPr>
        <w:fldChar w:fldCharType="separate"/>
      </w:r>
      <w:r w:rsidR="00C86F17" w:rsidRPr="00C86F17">
        <w:rPr>
          <w:rFonts w:ascii="Calibri" w:hAnsi="Calibri" w:cs="Calibri"/>
          <w:sz w:val="22"/>
          <w:szCs w:val="24"/>
          <w:vertAlign w:val="superscript"/>
        </w:rPr>
        <w:t>7</w:t>
      </w:r>
      <w:r w:rsidRPr="00FF439E">
        <w:rPr>
          <w:sz w:val="22"/>
          <w:szCs w:val="22"/>
        </w:rPr>
        <w:fldChar w:fldCharType="end"/>
      </w:r>
      <w:r w:rsidRPr="00FF439E">
        <w:rPr>
          <w:sz w:val="22"/>
          <w:szCs w:val="22"/>
        </w:rPr>
        <w:t xml:space="preserve"> Overdose death rates continued to rise in 2017 to 21.7 per 100,000, with 67.8% of those deaths attributed to an opioid</w:t>
      </w:r>
      <w:r w:rsidR="002179C3" w:rsidRPr="00FF439E">
        <w:rPr>
          <w:sz w:val="22"/>
          <w:szCs w:val="22"/>
        </w:rPr>
        <w:t>.</w:t>
      </w:r>
      <w:r w:rsidRPr="00FF439E">
        <w:rPr>
          <w:sz w:val="22"/>
          <w:szCs w:val="22"/>
        </w:rPr>
        <w:fldChar w:fldCharType="begin"/>
      </w:r>
      <w:r w:rsidR="00C86F17">
        <w:rPr>
          <w:sz w:val="22"/>
          <w:szCs w:val="22"/>
        </w:rPr>
        <w:instrText xml:space="preserve"> ADDIN ZOTERO_ITEM CSL_CITATION {"citationID":"39LDBgFO","properties":{"formattedCitation":"\\super 8\\nosupersub{}","plainCitation":"8","noteIndex":0},"citationItems":[{"id":1,"uris":["http://zotero.org/users/454081/items/ZJ9ELBVL"],"uri":["http://zotero.org/users/454081/items/ZJ9ELBVL"],"itemData":{"id":1,"type":"post-weblog","container-title":"CDC Opioid Overdose Data","title":"Drug Overdose Deaths","URL":"https://www.cdc.gov/drugoverdose/data/statedeaths.html","author":[{"family":"Centers for Disease Control and Prevention","given":""}],"accessed":{"date-parts":[["2020",2,26]]}}}],"schema":"https://github.com/citation-style-language/schema/raw/master/csl-citation.json"} </w:instrText>
      </w:r>
      <w:r w:rsidRPr="00FF439E">
        <w:rPr>
          <w:sz w:val="22"/>
          <w:szCs w:val="22"/>
        </w:rPr>
        <w:fldChar w:fldCharType="separate"/>
      </w:r>
      <w:r w:rsidR="00C86F17" w:rsidRPr="00C86F17">
        <w:rPr>
          <w:rFonts w:ascii="Calibri" w:hAnsi="Calibri" w:cs="Calibri"/>
          <w:sz w:val="22"/>
          <w:szCs w:val="24"/>
          <w:vertAlign w:val="superscript"/>
        </w:rPr>
        <w:t>8</w:t>
      </w:r>
      <w:r w:rsidRPr="00FF439E">
        <w:rPr>
          <w:sz w:val="22"/>
          <w:szCs w:val="22"/>
        </w:rPr>
        <w:fldChar w:fldCharType="end"/>
      </w:r>
      <w:r w:rsidR="002179C3" w:rsidRPr="00FF439E">
        <w:rPr>
          <w:sz w:val="22"/>
          <w:szCs w:val="22"/>
        </w:rPr>
        <w:t xml:space="preserve"> </w:t>
      </w:r>
      <w:r w:rsidR="00521C34">
        <w:rPr>
          <w:sz w:val="22"/>
          <w:szCs w:val="22"/>
        </w:rPr>
        <w:t>All told, nearly 450,000 people died of an opioid-related overdose between 1999 and 2018,</w:t>
      </w:r>
      <w:r w:rsidR="005E1CCC">
        <w:rPr>
          <w:sz w:val="22"/>
          <w:szCs w:val="22"/>
        </w:rPr>
        <w:fldChar w:fldCharType="begin"/>
      </w:r>
      <w:r w:rsidR="005E1CCC">
        <w:rPr>
          <w:sz w:val="22"/>
          <w:szCs w:val="22"/>
        </w:rPr>
        <w:instrText xml:space="preserve"> ADDIN ZOTERO_ITEM CSL_CITATION {"citationID":"lT72WFzM","properties":{"formattedCitation":"\\super 3\\nosupersub{}","plainCitation":"3","noteIndex":0},"citationItems":[{"id":1422,"uris":["http://zotero.org/users/454081/items/BHMLNMW7"],"uri":["http://zotero.org/users/454081/items/BHMLNMW7"],"itemData":{"id":1422,"type":"webpage","container-title":"Available at http://wonder.cdc.gov.","title":"Wide-ranging online data for epidemiologic research (WONDER).","author":[{"literal":"CDC, National Center for Health Statistics"}],"issued":{"date-parts":[["2020"]]}}}],"schema":"https://github.com/citation-style-language/schema/raw/master/csl-citation.json"} </w:instrText>
      </w:r>
      <w:r w:rsidR="005E1CCC">
        <w:rPr>
          <w:sz w:val="22"/>
          <w:szCs w:val="22"/>
        </w:rPr>
        <w:fldChar w:fldCharType="separate"/>
      </w:r>
      <w:r w:rsidR="005E1CCC" w:rsidRPr="005E1CCC">
        <w:rPr>
          <w:rFonts w:ascii="Calibri" w:hAnsi="Calibri" w:cs="Calibri"/>
          <w:sz w:val="22"/>
          <w:szCs w:val="24"/>
          <w:vertAlign w:val="superscript"/>
        </w:rPr>
        <w:t>3</w:t>
      </w:r>
      <w:r w:rsidR="005E1CCC">
        <w:rPr>
          <w:sz w:val="22"/>
          <w:szCs w:val="22"/>
        </w:rPr>
        <w:fldChar w:fldCharType="end"/>
      </w:r>
      <w:r w:rsidR="00521C34">
        <w:rPr>
          <w:sz w:val="22"/>
          <w:szCs w:val="22"/>
        </w:rPr>
        <w:t xml:space="preserve"> and signs of significant increases in opioid-related overdoses and accidental deaths have been noted during the early stages of t</w:t>
      </w:r>
      <w:r w:rsidR="003C5CCD" w:rsidRPr="00FF439E">
        <w:rPr>
          <w:sz w:val="22"/>
          <w:szCs w:val="22"/>
        </w:rPr>
        <w:t xml:space="preserve">he COVID-19 pandemic </w:t>
      </w:r>
      <w:r w:rsidR="0063278F">
        <w:rPr>
          <w:sz w:val="22"/>
          <w:szCs w:val="22"/>
        </w:rPr>
        <w:t>in</w:t>
      </w:r>
      <w:r w:rsidR="00521C34">
        <w:rPr>
          <w:sz w:val="22"/>
          <w:szCs w:val="22"/>
        </w:rPr>
        <w:t xml:space="preserve"> 2</w:t>
      </w:r>
      <w:r w:rsidR="0063278F">
        <w:rPr>
          <w:sz w:val="22"/>
          <w:szCs w:val="22"/>
        </w:rPr>
        <w:t>020.</w:t>
      </w:r>
      <w:r w:rsidR="005E1CCC">
        <w:rPr>
          <w:sz w:val="22"/>
          <w:szCs w:val="22"/>
        </w:rPr>
        <w:fldChar w:fldCharType="begin"/>
      </w:r>
      <w:r w:rsidR="005E1CCC">
        <w:rPr>
          <w:sz w:val="22"/>
          <w:szCs w:val="22"/>
        </w:rPr>
        <w:instrText xml:space="preserve"> ADDIN ZOTERO_ITEM CSL_CITATION {"citationID":"Eo7ARcMD","properties":{"formattedCitation":"\\super 4\\nosupersub{}","plainCitation":"4","noteIndex":0},"citationItems":[{"id":1423,"uris":["http://zotero.org/users/454081/items/X8JGANPC"],"uri":["http://zotero.org/users/454081/items/X8JGANPC"],"itemData":{"id":1423,"type":"article-journal","container-title":"Journal of Urban Health","DOI":"10.1007/s11524-020-00486-y","ISSN":"1468-2869","journalAbbreviation":"J Urban Health","language":"en","source":"Springer Link","title":"Opioid Overdose–Related Emergency Department Visits and Accidental Deaths during the COVID-19 Pandemic","URL":"https://doi.org/10.1007/s11524-020-00486-y","author":[{"family":"Rodda","given":"Luke N."},{"family":"West","given":"Kelsa L."},{"family":"LeSaint","given":"Kathy T."}],"accessed":{"date-parts":[["2020",10,30]]},"issued":{"date-parts":[["2020",9,28]]}}}],"schema":"https://github.com/citation-style-language/schema/raw/master/csl-citation.json"} </w:instrText>
      </w:r>
      <w:r w:rsidR="005E1CCC">
        <w:rPr>
          <w:sz w:val="22"/>
          <w:szCs w:val="22"/>
        </w:rPr>
        <w:fldChar w:fldCharType="separate"/>
      </w:r>
      <w:r w:rsidR="005E1CCC" w:rsidRPr="005E1CCC">
        <w:rPr>
          <w:rFonts w:ascii="Calibri" w:hAnsi="Calibri" w:cs="Calibri"/>
          <w:sz w:val="22"/>
          <w:szCs w:val="24"/>
          <w:vertAlign w:val="superscript"/>
        </w:rPr>
        <w:t>4</w:t>
      </w:r>
      <w:r w:rsidR="005E1CCC">
        <w:rPr>
          <w:sz w:val="22"/>
          <w:szCs w:val="22"/>
        </w:rPr>
        <w:fldChar w:fldCharType="end"/>
      </w:r>
      <w:r w:rsidR="0063278F">
        <w:rPr>
          <w:sz w:val="22"/>
          <w:szCs w:val="22"/>
        </w:rPr>
        <w:t xml:space="preserve"> </w:t>
      </w:r>
    </w:p>
    <w:p w14:paraId="1C41DAAB" w14:textId="23BDD936" w:rsidR="00DD032B" w:rsidRPr="000F43B3" w:rsidRDefault="00D20E2D" w:rsidP="00AC2EAF">
      <w:pPr>
        <w:rPr>
          <w:sz w:val="22"/>
          <w:szCs w:val="22"/>
        </w:rPr>
      </w:pPr>
      <w:r w:rsidRPr="004F29BB">
        <w:rPr>
          <w:sz w:val="22"/>
          <w:szCs w:val="22"/>
        </w:rPr>
        <w:t xml:space="preserve">Although the opioid </w:t>
      </w:r>
      <w:r w:rsidR="00551B07" w:rsidRPr="004F29BB">
        <w:rPr>
          <w:sz w:val="22"/>
          <w:szCs w:val="22"/>
        </w:rPr>
        <w:t xml:space="preserve">crisis </w:t>
      </w:r>
      <w:r w:rsidRPr="004F29BB">
        <w:rPr>
          <w:sz w:val="22"/>
          <w:szCs w:val="22"/>
        </w:rPr>
        <w:t>is a public health issue of national concern, the rate of</w:t>
      </w:r>
      <w:r w:rsidR="002179C3" w:rsidRPr="004F29BB">
        <w:rPr>
          <w:sz w:val="22"/>
          <w:szCs w:val="22"/>
        </w:rPr>
        <w:t xml:space="preserve"> all</w:t>
      </w:r>
      <w:r w:rsidRPr="004F29BB">
        <w:rPr>
          <w:sz w:val="22"/>
          <w:szCs w:val="22"/>
        </w:rPr>
        <w:t xml:space="preserve"> opioid-related fatalities in Wyoming is </w:t>
      </w:r>
      <w:r w:rsidR="002179C3" w:rsidRPr="00964A2E">
        <w:rPr>
          <w:sz w:val="22"/>
          <w:szCs w:val="22"/>
        </w:rPr>
        <w:t xml:space="preserve">considerably </w:t>
      </w:r>
      <w:r w:rsidRPr="00245DFE">
        <w:rPr>
          <w:sz w:val="22"/>
          <w:szCs w:val="22"/>
        </w:rPr>
        <w:t>lower than the most recent reported national rate.</w:t>
      </w:r>
      <w:r w:rsidR="00AC2EAF">
        <w:rPr>
          <w:sz w:val="22"/>
          <w:szCs w:val="22"/>
        </w:rPr>
        <w:t xml:space="preserve"> In Wyoming, as in neighboring western states,</w:t>
      </w:r>
      <w:r w:rsidR="00DD032B">
        <w:rPr>
          <w:sz w:val="22"/>
          <w:szCs w:val="22"/>
        </w:rPr>
        <w:t xml:space="preserve"> stimulant misuse (primarily methamphetamines) </w:t>
      </w:r>
      <w:r w:rsidR="00F36C96">
        <w:rPr>
          <w:sz w:val="22"/>
          <w:szCs w:val="22"/>
        </w:rPr>
        <w:t>has been of greatest concern</w:t>
      </w:r>
      <w:r w:rsidR="00B8356B">
        <w:rPr>
          <w:sz w:val="22"/>
          <w:szCs w:val="22"/>
        </w:rPr>
        <w:t>.</w:t>
      </w:r>
      <w:r w:rsidR="00DA22A2">
        <w:rPr>
          <w:sz w:val="22"/>
          <w:szCs w:val="22"/>
        </w:rPr>
        <w:fldChar w:fldCharType="begin"/>
      </w:r>
      <w:r w:rsidR="00DA22A2">
        <w:rPr>
          <w:sz w:val="22"/>
          <w:szCs w:val="22"/>
        </w:rPr>
        <w:instrText xml:space="preserve"> ADDIN ZOTERO_ITEM CSL_CITATION {"citationID":"g5xCarc1","properties":{"formattedCitation":"\\super 9\\nosupersub{}","plainCitation":"9","noteIndex":0},"citationItems":[{"id":1167,"uris":["http://zotero.org/users/454081/items/DNYRGTZM"],"uri":["http://zotero.org/users/454081/items/DNYRGTZM"],"itemData":{"id":1167,"type":"article-journal","abstract":"Objective-This report describes regional differences in the specific drugs most frequently involved in drug overdose deaths in the United States in 2017. Methods-Data from the 2017 National Vital Statistics System-Mortality files were linked to electronic files containing literal text information from death certificates. Drug overdose deaths were identified using International Classification of Diseases, 10th Revision underlying cause-of-death codes X40-X44, X60-X64, X85, and Y10-Y14. Drug mentions were identified using established methods for searching the literal text from death certificates. Deaths were assigned to 1 of 10 U.S. Department of Health and Human Services (HHS) regions based on the decedent's state of residence. The number and age-adjusted death rate was determined for the 10 drugs most frequently involved in drug overdose deaths in 2017, both nationally and for each HHS region. Deaths involving more than one drug were counted in all relevant drug categories (i.e., the same death could be counted in more than one drug category). Results-Among drug overdose deaths in 2017 that mentioned at least 1 specific drug on the death certificate, the 10 drugs most frequently involved included fentanyl, heroin, cocaine, methamphetamine, alprazolam, oxycodone, morphine, methadone, hydrocodone, and diphenhydramine. Regionally, 6 drugs (alprazolam, cocaine, fentanyl, heroin, methadone, and oxycodone) were found among the 10 most frequently involved drugs in all 10 HHS regions, although the relative ranking varied by region. Age-adjusted rates of drug overdose deaths involving fentanyl or deaths involving cocaine were higher in the regions east of the Mississippi River, while age-adjusted rates for drug overdose deaths involving methamphetamine were higher in the West. The regional patterns observed did not change after adjustment for differences in the specificity of drug reporting. Conclusions-The drugs most frequently involved in drug overdose deaths in 2017 varied by HHS region. Understanding the regional differences can help inform local prevention and policy efforts.","container-title":"National Vital Statistics Reports: From the Centers for Disease Control and Prevention, National Center for Health Statistics, National Vital Statistics System","ISSN":"1551-8930","issue":"12","journalAbbreviation":"Natl Vital Stat Rep","language":"eng","note":"PMID: 32501207","page":"1-16","source":"PubMed","title":"Regional Differences in the Drugs Most Frequently Involved in Drug Overdose Deaths: United States, 2017","title-short":"Regional Differences in the Drugs Most Frequently Involved in Drug Overdose Deaths","volume":"68","author":[{"family":"Hedegaard","given":"Holly"},{"family":"Bastian","given":"Brigham A."},{"family":"Trinidad","given":"James P."},{"family":"Spencer","given":"Merianna R."},{"family":"Warner","given":"Margaret"}],"issued":{"date-parts":[["2019",10]]}}}],"schema":"https://github.com/citation-style-language/schema/raw/master/csl-citation.json"} </w:instrText>
      </w:r>
      <w:r w:rsidR="00DA22A2">
        <w:rPr>
          <w:sz w:val="22"/>
          <w:szCs w:val="22"/>
        </w:rPr>
        <w:fldChar w:fldCharType="separate"/>
      </w:r>
      <w:r w:rsidR="00DA22A2" w:rsidRPr="00DA22A2">
        <w:rPr>
          <w:rFonts w:ascii="Calibri" w:hAnsi="Calibri" w:cs="Calibri"/>
          <w:sz w:val="22"/>
          <w:szCs w:val="24"/>
          <w:vertAlign w:val="superscript"/>
        </w:rPr>
        <w:t>9</w:t>
      </w:r>
      <w:r w:rsidR="00DA22A2">
        <w:rPr>
          <w:sz w:val="22"/>
          <w:szCs w:val="22"/>
        </w:rPr>
        <w:fldChar w:fldCharType="end"/>
      </w:r>
      <w:r w:rsidR="00B8356B">
        <w:rPr>
          <w:sz w:val="22"/>
          <w:szCs w:val="22"/>
        </w:rPr>
        <w:t xml:space="preserve"> However,</w:t>
      </w:r>
      <w:r w:rsidR="00F36C96">
        <w:rPr>
          <w:sz w:val="22"/>
          <w:szCs w:val="22"/>
        </w:rPr>
        <w:t xml:space="preserve"> when all categories of opioids are combined (prescription and illicit), they account for a higher percentage of overdose deaths than methamphetamines (See </w:t>
      </w:r>
      <w:r w:rsidR="00B8356B">
        <w:rPr>
          <w:sz w:val="22"/>
          <w:szCs w:val="22"/>
        </w:rPr>
        <w:t>A</w:t>
      </w:r>
      <w:r w:rsidR="00F36C96">
        <w:rPr>
          <w:sz w:val="22"/>
          <w:szCs w:val="22"/>
        </w:rPr>
        <w:t>ppendix, Figure A-1).</w:t>
      </w:r>
      <w:r w:rsidR="00F36C96">
        <w:rPr>
          <w:sz w:val="22"/>
          <w:szCs w:val="22"/>
        </w:rPr>
        <w:fldChar w:fldCharType="begin"/>
      </w:r>
      <w:r w:rsidR="00C86F17">
        <w:rPr>
          <w:sz w:val="22"/>
          <w:szCs w:val="22"/>
        </w:rPr>
        <w:instrText xml:space="preserve"> ADDIN ZOTERO_ITEM CSL_CITATION {"citationID":"Z50WaeGa","properties":{"formattedCitation":"\\super 9,10\\nosupersub{}","plainCitation":"9,10","noteIndex":0},"citationItems":[{"id":1167,"uris":["http://zotero.org/users/454081/items/DNYRGTZM"],"uri":["http://zotero.org/users/454081/items/DNYRGTZM"],"itemData":{"id":1167,"type":"article-journal","abstract":"Objective-This report describes regional differences in the specific drugs most frequently involved in drug overdose deaths in the United States in 2017. Methods-Data from the 2017 National Vital Statistics System-Mortality files were linked to electronic files containing literal text information from death certificates. Drug overdose deaths were identified using International Classification of Diseases, 10th Revision underlying cause-of-death codes X40-X44, X60-X64, X85, and Y10-Y14. Drug mentions were identified using established methods for searching the literal text from death certificates. Deaths were assigned to 1 of 10 U.S. Department of Health and Human Services (HHS) regions based on the decedent's state of residence. The number and age-adjusted death rate was determined for the 10 drugs most frequently involved in drug overdose deaths in 2017, both nationally and for each HHS region. Deaths involving more than one drug were counted in all relevant drug categories (i.e., the same death could be counted in more than one drug category). Results-Among drug overdose deaths in 2017 that mentioned at least 1 specific drug on the death certificate, the 10 drugs most frequently involved included fentanyl, heroin, cocaine, methamphetamine, alprazolam, oxycodone, morphine, methadone, hydrocodone, and diphenhydramine. Regionally, 6 drugs (alprazolam, cocaine, fentanyl, heroin, methadone, and oxycodone) were found among the 10 most frequently involved drugs in all 10 HHS regions, although the relative ranking varied by region. Age-adjusted rates of drug overdose deaths involving fentanyl or deaths involving cocaine were higher in the regions east of the Mississippi River, while age-adjusted rates for drug overdose deaths involving methamphetamine were higher in the West. The regional patterns observed did not change after adjustment for differences in the specificity of drug reporting. Conclusions-The drugs most frequently involved in drug overdose deaths in 2017 varied by HHS region. Understanding the regional differences can help inform local prevention and policy efforts.","container-title":"National Vital Statistics Reports: From the Centers for Disease Control and Prevention, National Center for Health Statistics, National Vital Statistics System","ISSN":"1551-8930","issue":"12","journalAbbreviation":"Natl Vital Stat Rep","language":"eng","note":"PMID: 32501207","page":"1-16","source":"PubMed","title":"Regional Differences in the Drugs Most Frequently Involved in Drug Overdose Deaths: United States, 2017","title-short":"Regional Differences in the Drugs Most Frequently Involved in Drug Overdose Deaths","volume":"68","author":[{"family":"Hedegaard","given":"Holly"},{"family":"Bastian","given":"Brigham A."},{"family":"Trinidad","given":"James P."},{"family":"Spencer","given":"Merianna R."},{"family":"Warner","given":"Margaret"}],"issued":{"date-parts":[["2019",10]]}}},{"id":1364,"uris":["http://zotero.org/users/454081/items/X74IEFAK"],"uri":["http://zotero.org/users/454081/items/X74IEFAK"],"itemData":{"id":1364,"type":"report","publisher":"Wyoming Association of Sheriffs and Chiefs of Police","title":"The Impact of Substance Abuse on Crime in Wyoming: 2010-2018","author":[{"family":"Johnson","given":"Ernest L."}],"issued":{"date-parts":[["2019",10]]}}}],"schema":"https://github.com/citation-style-language/schema/raw/master/csl-citation.json"} </w:instrText>
      </w:r>
      <w:r w:rsidR="00F36C96">
        <w:rPr>
          <w:sz w:val="22"/>
          <w:szCs w:val="22"/>
        </w:rPr>
        <w:fldChar w:fldCharType="separate"/>
      </w:r>
      <w:r w:rsidR="00C86F17" w:rsidRPr="00C86F17">
        <w:rPr>
          <w:rFonts w:ascii="Calibri" w:hAnsi="Calibri" w:cs="Calibri"/>
          <w:sz w:val="22"/>
          <w:szCs w:val="24"/>
          <w:vertAlign w:val="superscript"/>
        </w:rPr>
        <w:t>9,10</w:t>
      </w:r>
      <w:r w:rsidR="00F36C96">
        <w:rPr>
          <w:sz w:val="22"/>
          <w:szCs w:val="22"/>
        </w:rPr>
        <w:fldChar w:fldCharType="end"/>
      </w:r>
      <w:r w:rsidR="00C53A0D">
        <w:rPr>
          <w:sz w:val="22"/>
          <w:szCs w:val="22"/>
        </w:rPr>
        <w:t xml:space="preserve"> </w:t>
      </w:r>
      <w:r w:rsidR="00251D61">
        <w:rPr>
          <w:sz w:val="22"/>
          <w:szCs w:val="22"/>
        </w:rPr>
        <w:t>According to data from Wyoming Vital Statistics, prescription opioids alone or in combination with illicit drugs have been associated with the majority (66% in 2018) of drug-related deaths in the state over the past two years.</w:t>
      </w:r>
      <w:r w:rsidR="00251D61">
        <w:rPr>
          <w:sz w:val="22"/>
          <w:szCs w:val="22"/>
        </w:rPr>
        <w:fldChar w:fldCharType="begin"/>
      </w:r>
      <w:r w:rsidR="00DA22A2">
        <w:rPr>
          <w:sz w:val="22"/>
          <w:szCs w:val="22"/>
        </w:rPr>
        <w:instrText xml:space="preserve"> ADDIN ZOTERO_ITEM CSL_CITATION {"citationID":"orL2f9wp","properties":{"formattedCitation":"\\super 11\\nosupersub{}","plainCitation":"11","noteIndex":0},"citationItems":[{"id":1214,"uris":["http://zotero.org/users/454081/items/R7Y87HHX"],"uri":["http://zotero.org/users/454081/items/R7Y87HHX"],"itemData":{"id":1214,"type":"report","event-place":"Cheyenne, WY","publisher":"Wyoming Department of Health","publisher-place":"Cheyenne, WY","title":"Vital Statistics Services--2018 Annual Report","author":[{"family":"Beaudoin","given":"Guy"},{"family":"Storey","given":"Mariah"}],"issued":{"date-parts":[["2019",9,24]]}}}],"schema":"https://github.com/citation-style-language/schema/raw/master/csl-citation.json"} </w:instrText>
      </w:r>
      <w:r w:rsidR="00251D61">
        <w:rPr>
          <w:sz w:val="22"/>
          <w:szCs w:val="22"/>
        </w:rPr>
        <w:fldChar w:fldCharType="separate"/>
      </w:r>
      <w:r w:rsidR="00DA22A2" w:rsidRPr="00DA22A2">
        <w:rPr>
          <w:rFonts w:ascii="Calibri" w:hAnsi="Calibri" w:cs="Calibri"/>
          <w:sz w:val="22"/>
          <w:szCs w:val="24"/>
          <w:vertAlign w:val="superscript"/>
        </w:rPr>
        <w:t>11</w:t>
      </w:r>
      <w:r w:rsidR="00251D61">
        <w:rPr>
          <w:sz w:val="22"/>
          <w:szCs w:val="22"/>
        </w:rPr>
        <w:fldChar w:fldCharType="end"/>
      </w:r>
      <w:r w:rsidR="00251D61">
        <w:rPr>
          <w:sz w:val="22"/>
          <w:szCs w:val="22"/>
        </w:rPr>
        <w:t xml:space="preserve"> </w:t>
      </w:r>
      <w:r w:rsidR="002179C3" w:rsidRPr="000F43B3">
        <w:rPr>
          <w:sz w:val="22"/>
          <w:szCs w:val="22"/>
        </w:rPr>
        <w:t>CDC data indicate that in 2018, there were 66 total drug overdose</w:t>
      </w:r>
      <w:r w:rsidR="001D7E20">
        <w:rPr>
          <w:sz w:val="22"/>
          <w:szCs w:val="22"/>
        </w:rPr>
        <w:t xml:space="preserve"> death</w:t>
      </w:r>
      <w:r w:rsidR="002179C3" w:rsidRPr="000F43B3">
        <w:rPr>
          <w:sz w:val="22"/>
          <w:szCs w:val="22"/>
        </w:rPr>
        <w:t xml:space="preserve">s in </w:t>
      </w:r>
      <w:r w:rsidR="0034091A" w:rsidRPr="000F43B3">
        <w:rPr>
          <w:sz w:val="22"/>
          <w:szCs w:val="22"/>
        </w:rPr>
        <w:t xml:space="preserve">the state of </w:t>
      </w:r>
      <w:r w:rsidR="002179C3" w:rsidRPr="000F43B3">
        <w:rPr>
          <w:sz w:val="22"/>
          <w:szCs w:val="22"/>
        </w:rPr>
        <w:t>Wyoming, 40 that involved opioids, and 28 (6.8 per 100,000) that involved prescription opioids (4.6 per 100,000).</w:t>
      </w:r>
      <w:r w:rsidR="002179C3" w:rsidRPr="000F43B3">
        <w:rPr>
          <w:sz w:val="22"/>
          <w:szCs w:val="22"/>
        </w:rPr>
        <w:fldChar w:fldCharType="begin"/>
      </w:r>
      <w:r w:rsidR="005E1CCC">
        <w:rPr>
          <w:sz w:val="22"/>
          <w:szCs w:val="22"/>
        </w:rPr>
        <w:instrText xml:space="preserve"> ADDIN ZOTERO_ITEM CSL_CITATION {"citationID":"8lilLQy7","properties":{"formattedCitation":"\\super 5\\nosupersub{}","plainCitation":"5","noteIndex":0},"citationItems":[{"id":1159,"uris":["http://zotero.org/users/454081/items/7JSIAFTC"],"uri":["http://zotero.org/users/454081/items/7JSIAFTC"],"itemData":{"id":1159,"type":"webpage","abstract":"Drug-Involved Overdose Deaths\n\nIn the U.S., there were 67,367 drug overdose deaths reported in 2018, 4.1% fewer deaths than in 2017.","container-title":"National Institute on Drug Abuse","language":"en","title":"Wyoming: Opioid-Involved Deaths and Related Harms","title-short":"Wyoming","URL":"https://www.drugabuse.gov/drug-topics/opioids/opioid-summaries-by-state/wyoming-opioid-involved-deaths-related-harms","author":[{"family":"Abuse","given":"National Institute on Drug"}],"accessed":{"date-parts":[["2020",8,14]]},"issued":{"date-parts":[["2020",4,3]]}}}],"schema":"https://github.com/citation-style-language/schema/raw/master/csl-citation.json"} </w:instrText>
      </w:r>
      <w:r w:rsidR="002179C3" w:rsidRPr="000F43B3">
        <w:rPr>
          <w:sz w:val="22"/>
          <w:szCs w:val="22"/>
        </w:rPr>
        <w:fldChar w:fldCharType="separate"/>
      </w:r>
      <w:r w:rsidR="005E1CCC" w:rsidRPr="005E1CCC">
        <w:rPr>
          <w:rFonts w:ascii="Calibri" w:hAnsi="Calibri" w:cs="Calibri"/>
          <w:sz w:val="22"/>
          <w:szCs w:val="24"/>
          <w:vertAlign w:val="superscript"/>
        </w:rPr>
        <w:t>5</w:t>
      </w:r>
      <w:r w:rsidR="002179C3" w:rsidRPr="000F43B3">
        <w:rPr>
          <w:sz w:val="22"/>
          <w:szCs w:val="22"/>
        </w:rPr>
        <w:fldChar w:fldCharType="end"/>
      </w:r>
      <w:r w:rsidR="003C5CCD" w:rsidRPr="000F43B3">
        <w:rPr>
          <w:sz w:val="22"/>
          <w:szCs w:val="22"/>
        </w:rPr>
        <w:t xml:space="preserve"> </w:t>
      </w:r>
    </w:p>
    <w:p w14:paraId="75002615" w14:textId="4DC05D65" w:rsidR="00D71022" w:rsidRDefault="005E198E" w:rsidP="00376760">
      <w:pPr>
        <w:rPr>
          <w:sz w:val="22"/>
          <w:szCs w:val="22"/>
        </w:rPr>
      </w:pPr>
      <w:r w:rsidRPr="000F43B3">
        <w:rPr>
          <w:sz w:val="22"/>
          <w:szCs w:val="22"/>
        </w:rPr>
        <w:t>Wyoming’s</w:t>
      </w:r>
      <w:r w:rsidR="00860B53" w:rsidRPr="000F43B3">
        <w:rPr>
          <w:sz w:val="22"/>
          <w:szCs w:val="22"/>
        </w:rPr>
        <w:t xml:space="preserve"> opioid prescribing rates have been on par with or slightly higher than the national average</w:t>
      </w:r>
      <w:r w:rsidR="00F65E9F">
        <w:rPr>
          <w:sz w:val="22"/>
          <w:szCs w:val="22"/>
        </w:rPr>
        <w:t xml:space="preserve"> over the past ten years</w:t>
      </w:r>
      <w:r w:rsidR="00860B53" w:rsidRPr="000F43B3">
        <w:rPr>
          <w:sz w:val="22"/>
          <w:szCs w:val="22"/>
        </w:rPr>
        <w:t>.</w:t>
      </w:r>
      <w:r w:rsidR="00F65E9F">
        <w:rPr>
          <w:sz w:val="22"/>
          <w:szCs w:val="22"/>
        </w:rPr>
        <w:fldChar w:fldCharType="begin"/>
      </w:r>
      <w:r w:rsidR="00DA22A2">
        <w:rPr>
          <w:sz w:val="22"/>
          <w:szCs w:val="22"/>
        </w:rPr>
        <w:instrText xml:space="preserve"> ADDIN ZOTERO_ITEM CSL_CITATION {"citationID":"TGDX49WK","properties":{"formattedCitation":"\\super 12\\nosupersub{}","plainCitation":"12","noteIndex":0},"citationItems":[{"id":1161,"uris":["http://zotero.org/users/454081/items/B7RCNIFT"],"uri":["http://zotero.org/users/454081/items/B7RCNIFT"],"itemData":{"id":1161,"type":"report","event-place":"Laramie, WY","publisher":"Wyoming Survey &amp; Analysis Center, University of Wyoming","publisher-place":"Laramie, WY","title":"Telling the Story of Opioid Use in Wyoming","URL":"https://health.wyo.gov/wp-content/uploads/2018/03/Telling-the-Story-of-Prescription-Opioid-Use-in-Wyoming.pdf","author":[{"family":"Wambeam","given":"Rodney"},{"family":"Gilbert","given":"Lauren"},{"family":"Kilwein","given":"Tess"}],"issued":{"date-parts":[["2018"]]}}}],"schema":"https://github.com/citation-style-language/schema/raw/master/csl-citation.json"} </w:instrText>
      </w:r>
      <w:r w:rsidR="00F65E9F">
        <w:rPr>
          <w:sz w:val="22"/>
          <w:szCs w:val="22"/>
        </w:rPr>
        <w:fldChar w:fldCharType="separate"/>
      </w:r>
      <w:r w:rsidR="00DA22A2" w:rsidRPr="00DA22A2">
        <w:rPr>
          <w:rFonts w:ascii="Calibri" w:hAnsi="Calibri" w:cs="Calibri"/>
          <w:sz w:val="22"/>
          <w:szCs w:val="24"/>
          <w:vertAlign w:val="superscript"/>
        </w:rPr>
        <w:t>12</w:t>
      </w:r>
      <w:r w:rsidR="00F65E9F">
        <w:rPr>
          <w:sz w:val="22"/>
          <w:szCs w:val="22"/>
        </w:rPr>
        <w:fldChar w:fldCharType="end"/>
      </w:r>
      <w:r w:rsidR="00860B53" w:rsidRPr="000F43B3">
        <w:rPr>
          <w:sz w:val="22"/>
          <w:szCs w:val="22"/>
        </w:rPr>
        <w:t xml:space="preserve"> In 201</w:t>
      </w:r>
      <w:r w:rsidR="00E3524D" w:rsidRPr="000F43B3">
        <w:rPr>
          <w:sz w:val="22"/>
          <w:szCs w:val="22"/>
        </w:rPr>
        <w:t>8</w:t>
      </w:r>
      <w:r w:rsidR="00F36C96">
        <w:rPr>
          <w:sz w:val="22"/>
          <w:szCs w:val="22"/>
        </w:rPr>
        <w:t>, t</w:t>
      </w:r>
      <w:r w:rsidR="00AC2EAF" w:rsidRPr="00FF439E">
        <w:rPr>
          <w:sz w:val="22"/>
          <w:szCs w:val="22"/>
        </w:rPr>
        <w:t>he opioid prescribing rate per 100 persons in Wyoming</w:t>
      </w:r>
      <w:r w:rsidR="00AC2EAF">
        <w:rPr>
          <w:sz w:val="22"/>
          <w:szCs w:val="22"/>
        </w:rPr>
        <w:t xml:space="preserve"> was</w:t>
      </w:r>
      <w:r w:rsidR="00AC2EAF" w:rsidRPr="00FF439E">
        <w:rPr>
          <w:sz w:val="22"/>
          <w:szCs w:val="22"/>
        </w:rPr>
        <w:t xml:space="preserve"> 57.1 </w:t>
      </w:r>
      <w:r w:rsidR="00AC2EAF">
        <w:rPr>
          <w:sz w:val="22"/>
          <w:szCs w:val="22"/>
        </w:rPr>
        <w:t>for all opioids, compared to the national prescribing rate of 51.4</w:t>
      </w:r>
      <w:r w:rsidR="00973BF1">
        <w:rPr>
          <w:sz w:val="22"/>
          <w:szCs w:val="22"/>
        </w:rPr>
        <w:t xml:space="preserve"> (Table 1)</w:t>
      </w:r>
      <w:r w:rsidR="00AC2EAF">
        <w:rPr>
          <w:sz w:val="22"/>
          <w:szCs w:val="22"/>
        </w:rPr>
        <w:t>. Wyoming’s prescribing rates for sub-categories of opioids, such as</w:t>
      </w:r>
      <w:r w:rsidR="00AC2EAF" w:rsidRPr="00FF439E">
        <w:rPr>
          <w:sz w:val="22"/>
          <w:szCs w:val="22"/>
        </w:rPr>
        <w:t xml:space="preserve"> </w:t>
      </w:r>
      <w:r w:rsidR="00AC2EAF">
        <w:rPr>
          <w:sz w:val="22"/>
          <w:szCs w:val="22"/>
        </w:rPr>
        <w:t xml:space="preserve">Long Acting/Extended Release </w:t>
      </w:r>
      <w:r w:rsidR="00F36C96">
        <w:rPr>
          <w:sz w:val="22"/>
          <w:szCs w:val="22"/>
        </w:rPr>
        <w:t xml:space="preserve">(LA/ER) </w:t>
      </w:r>
      <w:r w:rsidR="00AC2EAF">
        <w:rPr>
          <w:sz w:val="22"/>
          <w:szCs w:val="22"/>
        </w:rPr>
        <w:t>opioids, are also higher than the national average.</w:t>
      </w:r>
      <w:r w:rsidR="00AC2EAF" w:rsidRPr="00FF439E">
        <w:rPr>
          <w:sz w:val="22"/>
          <w:szCs w:val="22"/>
        </w:rPr>
        <w:fldChar w:fldCharType="begin"/>
      </w:r>
      <w:r w:rsidR="00DA22A2">
        <w:rPr>
          <w:sz w:val="22"/>
          <w:szCs w:val="22"/>
        </w:rPr>
        <w:instrText xml:space="preserve"> ADDIN ZOTERO_ITEM CSL_CITATION {"citationID":"qxAQzGBj","properties":{"formattedCitation":"\\super 13\\nosupersub{}","plainCitation":"13","noteIndex":0},"citationItems":[{"id":1107,"uris":["http://zotero.org/users/454081/items/5IXADD6D"],"uri":["http://zotero.org/users/454081/items/5IXADD6D"],"itemData":{"id":1107,"type":"report","event-place":"Centers of Disease Control and Prevention, US Department of Health &amp; Human Services","publisher-place":"Centers of Disease Control and Prevention, US Department of Health &amp; Human Services","title":"2019 Annual Surveillance Report of Drug-Related Risks and Outcomes — United States Surveillance Special Report","URL":"https://www. cdc.gov/drugoverdose/pdf/ pubs/2019-cdc-drug-surveillancereport. pdf.","author":[{"literal":"Centers for Disease Control and Prevention"}],"accessed":{"date-parts":[["2020",7,29]]},"issued":{"date-parts":[["2019",11,1]]}}}],"schema":"https://github.com/citation-style-language/schema/raw/master/csl-citation.json"} </w:instrText>
      </w:r>
      <w:r w:rsidR="00AC2EAF" w:rsidRPr="00FF439E">
        <w:rPr>
          <w:sz w:val="22"/>
          <w:szCs w:val="22"/>
        </w:rPr>
        <w:fldChar w:fldCharType="separate"/>
      </w:r>
      <w:r w:rsidR="00DA22A2" w:rsidRPr="00DA22A2">
        <w:rPr>
          <w:rFonts w:ascii="Calibri" w:hAnsi="Calibri" w:cs="Calibri"/>
          <w:sz w:val="22"/>
          <w:szCs w:val="24"/>
          <w:vertAlign w:val="superscript"/>
        </w:rPr>
        <w:t>13</w:t>
      </w:r>
      <w:r w:rsidR="00AC2EAF" w:rsidRPr="00FF439E">
        <w:rPr>
          <w:sz w:val="22"/>
          <w:szCs w:val="22"/>
        </w:rPr>
        <w:fldChar w:fldCharType="end"/>
      </w:r>
      <w:r w:rsidR="00AC2EAF">
        <w:rPr>
          <w:sz w:val="22"/>
          <w:szCs w:val="22"/>
        </w:rPr>
        <w:t xml:space="preserve"> </w:t>
      </w:r>
    </w:p>
    <w:p w14:paraId="2DF3760A" w14:textId="77777777" w:rsidR="00DA22A2" w:rsidRDefault="00DA22A2">
      <w:pPr>
        <w:rPr>
          <w:b/>
          <w:bCs/>
          <w:color w:val="2F5496" w:themeColor="accent1" w:themeShade="BF"/>
          <w:sz w:val="22"/>
          <w:szCs w:val="22"/>
        </w:rPr>
      </w:pPr>
      <w:r>
        <w:rPr>
          <w:sz w:val="22"/>
          <w:szCs w:val="22"/>
        </w:rPr>
        <w:br w:type="page"/>
      </w:r>
    </w:p>
    <w:p w14:paraId="3BDC6779" w14:textId="40B6554E" w:rsidR="006027BA" w:rsidRPr="00343B76" w:rsidRDefault="006027BA" w:rsidP="00343B76">
      <w:pPr>
        <w:pStyle w:val="Caption"/>
        <w:keepNext/>
        <w:rPr>
          <w:sz w:val="22"/>
          <w:szCs w:val="22"/>
        </w:rPr>
      </w:pPr>
      <w:r w:rsidRPr="00343B76">
        <w:rPr>
          <w:sz w:val="22"/>
          <w:szCs w:val="22"/>
        </w:rPr>
        <w:t xml:space="preserve">Table </w:t>
      </w:r>
      <w:r w:rsidRPr="00343B76">
        <w:rPr>
          <w:sz w:val="22"/>
          <w:szCs w:val="22"/>
        </w:rPr>
        <w:fldChar w:fldCharType="begin"/>
      </w:r>
      <w:r w:rsidRPr="00343B76">
        <w:rPr>
          <w:sz w:val="22"/>
          <w:szCs w:val="22"/>
        </w:rPr>
        <w:instrText xml:space="preserve"> SEQ Table \* ARABIC </w:instrText>
      </w:r>
      <w:r w:rsidRPr="00343B76">
        <w:rPr>
          <w:sz w:val="22"/>
          <w:szCs w:val="22"/>
        </w:rPr>
        <w:fldChar w:fldCharType="separate"/>
      </w:r>
      <w:r w:rsidR="003C126C">
        <w:rPr>
          <w:noProof/>
          <w:sz w:val="22"/>
          <w:szCs w:val="22"/>
        </w:rPr>
        <w:t>1</w:t>
      </w:r>
      <w:r w:rsidRPr="00343B76">
        <w:rPr>
          <w:sz w:val="22"/>
          <w:szCs w:val="22"/>
        </w:rPr>
        <w:fldChar w:fldCharType="end"/>
      </w:r>
      <w:r w:rsidRPr="00343B76">
        <w:rPr>
          <w:sz w:val="22"/>
          <w:szCs w:val="22"/>
        </w:rPr>
        <w:t>. Opioid prescribing rate</w:t>
      </w:r>
      <w:r w:rsidR="00B8356B">
        <w:rPr>
          <w:sz w:val="22"/>
          <w:szCs w:val="22"/>
        </w:rPr>
        <w:t>s</w:t>
      </w:r>
      <w:r w:rsidRPr="00343B76">
        <w:rPr>
          <w:sz w:val="22"/>
          <w:szCs w:val="22"/>
        </w:rPr>
        <w:t xml:space="preserve"> per 100 persons, Wyoming and U</w:t>
      </w:r>
      <w:r>
        <w:rPr>
          <w:sz w:val="22"/>
          <w:szCs w:val="22"/>
        </w:rPr>
        <w:t xml:space="preserve">nited </w:t>
      </w:r>
      <w:r w:rsidRPr="00343B76">
        <w:rPr>
          <w:sz w:val="22"/>
          <w:szCs w:val="22"/>
        </w:rPr>
        <w:t>S</w:t>
      </w:r>
      <w:r>
        <w:rPr>
          <w:sz w:val="22"/>
          <w:szCs w:val="22"/>
        </w:rPr>
        <w:t>tates</w:t>
      </w:r>
      <w:r w:rsidRPr="00343B76">
        <w:rPr>
          <w:sz w:val="22"/>
          <w:szCs w:val="22"/>
        </w:rPr>
        <w:t>, 201</w:t>
      </w:r>
      <w:r w:rsidR="00551B07">
        <w:rPr>
          <w:sz w:val="22"/>
          <w:szCs w:val="22"/>
        </w:rPr>
        <w:t>8</w:t>
      </w:r>
      <w:r w:rsidR="00C565DB">
        <w:rPr>
          <w:sz w:val="22"/>
          <w:szCs w:val="22"/>
        </w:rPr>
        <w:fldChar w:fldCharType="begin"/>
      </w:r>
      <w:r w:rsidR="00DA22A2">
        <w:rPr>
          <w:sz w:val="22"/>
          <w:szCs w:val="22"/>
        </w:rPr>
        <w:instrText xml:space="preserve"> ADDIN ZOTERO_ITEM CSL_CITATION {"citationID":"BUSd7NfD","properties":{"formattedCitation":"\\super 13\\nosupersub{}","plainCitation":"13","noteIndex":0},"citationItems":[{"id":1107,"uris":["http://zotero.org/users/454081/items/5IXADD6D"],"uri":["http://zotero.org/users/454081/items/5IXADD6D"],"itemData":{"id":1107,"type":"report","event-place":"Centers of Disease Control and Prevention, US Department of Health &amp; Human Services","publisher-place":"Centers of Disease Control and Prevention, US Department of Health &amp; Human Services","title":"2019 Annual Surveillance Report of Drug-Related Risks and Outcomes — United States Surveillance Special Report","URL":"https://www. cdc.gov/drugoverdose/pdf/ pubs/2019-cdc-drug-surveillancereport. pdf.","author":[{"literal":"Centers for Disease Control and Prevention"}],"accessed":{"date-parts":[["2020",7,29]]},"issued":{"date-parts":[["2019",11,1]]}}}],"schema":"https://github.com/citation-style-language/schema/raw/master/csl-citation.json"} </w:instrText>
      </w:r>
      <w:r w:rsidR="00C565DB">
        <w:rPr>
          <w:sz w:val="22"/>
          <w:szCs w:val="22"/>
        </w:rPr>
        <w:fldChar w:fldCharType="separate"/>
      </w:r>
      <w:r w:rsidR="00DA22A2" w:rsidRPr="00DA22A2">
        <w:rPr>
          <w:rFonts w:ascii="Calibri" w:hAnsi="Calibri" w:cs="Calibri"/>
          <w:sz w:val="22"/>
          <w:szCs w:val="24"/>
          <w:vertAlign w:val="superscript"/>
        </w:rPr>
        <w:t>13</w:t>
      </w:r>
      <w:r w:rsidR="00C565DB">
        <w:rPr>
          <w:sz w:val="22"/>
          <w:szCs w:val="22"/>
        </w:rPr>
        <w:fldChar w:fldCharType="end"/>
      </w:r>
    </w:p>
    <w:tbl>
      <w:tblPr>
        <w:tblStyle w:val="PlainTable1"/>
        <w:tblW w:w="0" w:type="auto"/>
        <w:jc w:val="center"/>
        <w:tblCellMar>
          <w:left w:w="115" w:type="dxa"/>
          <w:right w:w="115" w:type="dxa"/>
        </w:tblCellMar>
        <w:tblLook w:val="04A0" w:firstRow="1" w:lastRow="0" w:firstColumn="1" w:lastColumn="0" w:noHBand="0" w:noVBand="1"/>
      </w:tblPr>
      <w:tblGrid>
        <w:gridCol w:w="2065"/>
        <w:gridCol w:w="1800"/>
        <w:gridCol w:w="2070"/>
      </w:tblGrid>
      <w:tr w:rsidR="00E3524D" w14:paraId="477B5F1D" w14:textId="77777777" w:rsidTr="00343B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22A79C9C" w14:textId="77777777" w:rsidR="00E3524D" w:rsidRDefault="00E3524D" w:rsidP="00B92881"/>
        </w:tc>
        <w:tc>
          <w:tcPr>
            <w:tcW w:w="1800" w:type="dxa"/>
          </w:tcPr>
          <w:p w14:paraId="132FBE81" w14:textId="77777777" w:rsidR="00E3524D" w:rsidRDefault="00E3524D" w:rsidP="00B92881">
            <w:pPr>
              <w:jc w:val="center"/>
              <w:cnfStyle w:val="100000000000" w:firstRow="1" w:lastRow="0" w:firstColumn="0" w:lastColumn="0" w:oddVBand="0" w:evenVBand="0" w:oddHBand="0" w:evenHBand="0" w:firstRowFirstColumn="0" w:firstRowLastColumn="0" w:lastRowFirstColumn="0" w:lastRowLastColumn="0"/>
            </w:pPr>
            <w:r>
              <w:t>Wyoming</w:t>
            </w:r>
          </w:p>
        </w:tc>
        <w:tc>
          <w:tcPr>
            <w:tcW w:w="2070" w:type="dxa"/>
          </w:tcPr>
          <w:p w14:paraId="29AC0653" w14:textId="77777777" w:rsidR="00E3524D" w:rsidRDefault="00E3524D" w:rsidP="00B92881">
            <w:pPr>
              <w:jc w:val="center"/>
              <w:cnfStyle w:val="100000000000" w:firstRow="1" w:lastRow="0" w:firstColumn="0" w:lastColumn="0" w:oddVBand="0" w:evenVBand="0" w:oddHBand="0" w:evenHBand="0" w:firstRowFirstColumn="0" w:firstRowLastColumn="0" w:lastRowFirstColumn="0" w:lastRowLastColumn="0"/>
            </w:pPr>
            <w:r>
              <w:t>United States</w:t>
            </w:r>
          </w:p>
        </w:tc>
      </w:tr>
      <w:tr w:rsidR="00E3524D" w14:paraId="5F91288F" w14:textId="77777777" w:rsidTr="00343B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62FCC7E1" w14:textId="77777777" w:rsidR="00E3524D" w:rsidRDefault="00E3524D" w:rsidP="00B92881">
            <w:r>
              <w:t>All opioids</w:t>
            </w:r>
          </w:p>
        </w:tc>
        <w:tc>
          <w:tcPr>
            <w:tcW w:w="1800" w:type="dxa"/>
          </w:tcPr>
          <w:p w14:paraId="168CF59B" w14:textId="77777777" w:rsidR="00E3524D" w:rsidRDefault="00E3524D" w:rsidP="00B92881">
            <w:pPr>
              <w:jc w:val="center"/>
              <w:cnfStyle w:val="000000100000" w:firstRow="0" w:lastRow="0" w:firstColumn="0" w:lastColumn="0" w:oddVBand="0" w:evenVBand="0" w:oddHBand="1" w:evenHBand="0" w:firstRowFirstColumn="0" w:firstRowLastColumn="0" w:lastRowFirstColumn="0" w:lastRowLastColumn="0"/>
            </w:pPr>
            <w:r>
              <w:t>57.1</w:t>
            </w:r>
          </w:p>
        </w:tc>
        <w:tc>
          <w:tcPr>
            <w:tcW w:w="2070" w:type="dxa"/>
          </w:tcPr>
          <w:p w14:paraId="38B7003E" w14:textId="77777777" w:rsidR="00E3524D" w:rsidRDefault="00E3524D" w:rsidP="00B92881">
            <w:pPr>
              <w:jc w:val="center"/>
              <w:cnfStyle w:val="000000100000" w:firstRow="0" w:lastRow="0" w:firstColumn="0" w:lastColumn="0" w:oddVBand="0" w:evenVBand="0" w:oddHBand="1" w:evenHBand="0" w:firstRowFirstColumn="0" w:firstRowLastColumn="0" w:lastRowFirstColumn="0" w:lastRowLastColumn="0"/>
            </w:pPr>
            <w:r>
              <w:t>51.4</w:t>
            </w:r>
          </w:p>
        </w:tc>
      </w:tr>
      <w:tr w:rsidR="00E3524D" w14:paraId="70C38649" w14:textId="77777777" w:rsidTr="00343B76">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5ECDCE37" w14:textId="60180498" w:rsidR="00E3524D" w:rsidRDefault="00E3524D" w:rsidP="00B92881">
            <w:r>
              <w:t>LA / ER opioids</w:t>
            </w:r>
            <w:r w:rsidR="00343B76">
              <w:t xml:space="preserve"> *</w:t>
            </w:r>
          </w:p>
        </w:tc>
        <w:tc>
          <w:tcPr>
            <w:tcW w:w="1800" w:type="dxa"/>
          </w:tcPr>
          <w:p w14:paraId="186CECC6" w14:textId="77777777" w:rsidR="00E3524D" w:rsidRDefault="00E3524D" w:rsidP="00B92881">
            <w:pPr>
              <w:jc w:val="center"/>
              <w:cnfStyle w:val="000000000000" w:firstRow="0" w:lastRow="0" w:firstColumn="0" w:lastColumn="0" w:oddVBand="0" w:evenVBand="0" w:oddHBand="0" w:evenHBand="0" w:firstRowFirstColumn="0" w:firstRowLastColumn="0" w:lastRowFirstColumn="0" w:lastRowLastColumn="0"/>
            </w:pPr>
            <w:r>
              <w:t>6.2</w:t>
            </w:r>
          </w:p>
        </w:tc>
        <w:tc>
          <w:tcPr>
            <w:tcW w:w="2070" w:type="dxa"/>
          </w:tcPr>
          <w:p w14:paraId="25C424C6" w14:textId="77777777" w:rsidR="00E3524D" w:rsidRDefault="00E3524D" w:rsidP="00B92881">
            <w:pPr>
              <w:jc w:val="center"/>
              <w:cnfStyle w:val="000000000000" w:firstRow="0" w:lastRow="0" w:firstColumn="0" w:lastColumn="0" w:oddVBand="0" w:evenVBand="0" w:oddHBand="0" w:evenHBand="0" w:firstRowFirstColumn="0" w:firstRowLastColumn="0" w:lastRowFirstColumn="0" w:lastRowLastColumn="0"/>
            </w:pPr>
            <w:r>
              <w:t>4.5</w:t>
            </w:r>
          </w:p>
        </w:tc>
      </w:tr>
      <w:tr w:rsidR="00E3524D" w14:paraId="17353360" w14:textId="77777777" w:rsidTr="00343B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18038DDE" w14:textId="343F913C" w:rsidR="00E3524D" w:rsidRDefault="00E3524D" w:rsidP="00B92881">
            <w:r>
              <w:t>&lt; 50 MME</w:t>
            </w:r>
            <w:r w:rsidR="00343B76">
              <w:t xml:space="preserve"> **</w:t>
            </w:r>
          </w:p>
        </w:tc>
        <w:tc>
          <w:tcPr>
            <w:tcW w:w="1800" w:type="dxa"/>
          </w:tcPr>
          <w:p w14:paraId="5B662E20" w14:textId="77777777" w:rsidR="00E3524D" w:rsidRDefault="00E3524D" w:rsidP="00B92881">
            <w:pPr>
              <w:jc w:val="center"/>
              <w:cnfStyle w:val="000000100000" w:firstRow="0" w:lastRow="0" w:firstColumn="0" w:lastColumn="0" w:oddVBand="0" w:evenVBand="0" w:oddHBand="1" w:evenHBand="0" w:firstRowFirstColumn="0" w:firstRowLastColumn="0" w:lastRowFirstColumn="0" w:lastRowLastColumn="0"/>
            </w:pPr>
            <w:r>
              <w:t>40.8</w:t>
            </w:r>
          </w:p>
        </w:tc>
        <w:tc>
          <w:tcPr>
            <w:tcW w:w="2070" w:type="dxa"/>
          </w:tcPr>
          <w:p w14:paraId="7A046F77" w14:textId="77777777" w:rsidR="00E3524D" w:rsidRDefault="00E3524D" w:rsidP="00B92881">
            <w:pPr>
              <w:jc w:val="center"/>
              <w:cnfStyle w:val="000000100000" w:firstRow="0" w:lastRow="0" w:firstColumn="0" w:lastColumn="0" w:oddVBand="0" w:evenVBand="0" w:oddHBand="1" w:evenHBand="0" w:firstRowFirstColumn="0" w:firstRowLastColumn="0" w:lastRowFirstColumn="0" w:lastRowLastColumn="0"/>
            </w:pPr>
            <w:r>
              <w:t>39.7</w:t>
            </w:r>
          </w:p>
        </w:tc>
      </w:tr>
      <w:tr w:rsidR="00E3524D" w14:paraId="6E661E64" w14:textId="77777777" w:rsidTr="00343B76">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6F00A930" w14:textId="77777777" w:rsidR="00E3524D" w:rsidRDefault="00E3524D" w:rsidP="00B92881">
            <w:r>
              <w:rPr>
                <w:rFonts w:cstheme="minorHAnsi"/>
              </w:rPr>
              <w:t>≥ 50 but &lt; 90 MME</w:t>
            </w:r>
          </w:p>
        </w:tc>
        <w:tc>
          <w:tcPr>
            <w:tcW w:w="1800" w:type="dxa"/>
          </w:tcPr>
          <w:p w14:paraId="076782F0" w14:textId="77777777" w:rsidR="00E3524D" w:rsidRDefault="00E3524D" w:rsidP="00B92881">
            <w:pPr>
              <w:jc w:val="center"/>
              <w:cnfStyle w:val="000000000000" w:firstRow="0" w:lastRow="0" w:firstColumn="0" w:lastColumn="0" w:oddVBand="0" w:evenVBand="0" w:oddHBand="0" w:evenHBand="0" w:firstRowFirstColumn="0" w:firstRowLastColumn="0" w:lastRowFirstColumn="0" w:lastRowLastColumn="0"/>
            </w:pPr>
            <w:r>
              <w:t>10.5</w:t>
            </w:r>
          </w:p>
        </w:tc>
        <w:tc>
          <w:tcPr>
            <w:tcW w:w="2070" w:type="dxa"/>
          </w:tcPr>
          <w:p w14:paraId="2916E544" w14:textId="77777777" w:rsidR="00E3524D" w:rsidRDefault="00E3524D" w:rsidP="00B92881">
            <w:pPr>
              <w:jc w:val="center"/>
              <w:cnfStyle w:val="000000000000" w:firstRow="0" w:lastRow="0" w:firstColumn="0" w:lastColumn="0" w:oddVBand="0" w:evenVBand="0" w:oddHBand="0" w:evenHBand="0" w:firstRowFirstColumn="0" w:firstRowLastColumn="0" w:lastRowFirstColumn="0" w:lastRowLastColumn="0"/>
            </w:pPr>
            <w:r>
              <w:t>7.9</w:t>
            </w:r>
          </w:p>
        </w:tc>
      </w:tr>
      <w:tr w:rsidR="00E3524D" w14:paraId="7E7EFF87" w14:textId="77777777" w:rsidTr="00343B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5EA8E779" w14:textId="77777777" w:rsidR="00E3524D" w:rsidRDefault="00E3524D" w:rsidP="00B92881">
            <w:pPr>
              <w:rPr>
                <w:rFonts w:cstheme="minorHAnsi"/>
              </w:rPr>
            </w:pPr>
            <w:r>
              <w:rPr>
                <w:rFonts w:cstheme="minorHAnsi"/>
              </w:rPr>
              <w:t>≥ 90 MME (high-dose)</w:t>
            </w:r>
          </w:p>
        </w:tc>
        <w:tc>
          <w:tcPr>
            <w:tcW w:w="1800" w:type="dxa"/>
          </w:tcPr>
          <w:p w14:paraId="10C5049F" w14:textId="77777777" w:rsidR="00E3524D" w:rsidRDefault="00E3524D" w:rsidP="00B92881">
            <w:pPr>
              <w:jc w:val="center"/>
              <w:cnfStyle w:val="000000100000" w:firstRow="0" w:lastRow="0" w:firstColumn="0" w:lastColumn="0" w:oddVBand="0" w:evenVBand="0" w:oddHBand="1" w:evenHBand="0" w:firstRowFirstColumn="0" w:firstRowLastColumn="0" w:lastRowFirstColumn="0" w:lastRowLastColumn="0"/>
            </w:pPr>
            <w:r>
              <w:t>5.8</w:t>
            </w:r>
          </w:p>
        </w:tc>
        <w:tc>
          <w:tcPr>
            <w:tcW w:w="2070" w:type="dxa"/>
          </w:tcPr>
          <w:p w14:paraId="714EFE4F" w14:textId="77777777" w:rsidR="00E3524D" w:rsidRDefault="00E3524D" w:rsidP="00B92881">
            <w:pPr>
              <w:jc w:val="center"/>
              <w:cnfStyle w:val="000000100000" w:firstRow="0" w:lastRow="0" w:firstColumn="0" w:lastColumn="0" w:oddVBand="0" w:evenVBand="0" w:oddHBand="1" w:evenHBand="0" w:firstRowFirstColumn="0" w:firstRowLastColumn="0" w:lastRowFirstColumn="0" w:lastRowLastColumn="0"/>
            </w:pPr>
            <w:r>
              <w:t>3.9</w:t>
            </w:r>
          </w:p>
        </w:tc>
      </w:tr>
    </w:tbl>
    <w:p w14:paraId="6D6194BD" w14:textId="77777777" w:rsidR="008002E0" w:rsidRDefault="008002E0" w:rsidP="00196299">
      <w:pPr>
        <w:spacing w:before="0" w:after="0" w:line="240" w:lineRule="auto"/>
      </w:pPr>
    </w:p>
    <w:p w14:paraId="61B08726" w14:textId="0F384FD2" w:rsidR="00343B76" w:rsidRDefault="00343B76" w:rsidP="00196299">
      <w:pPr>
        <w:spacing w:before="0" w:after="0" w:line="240" w:lineRule="auto"/>
      </w:pPr>
      <w:r>
        <w:t>*LA / ER: Long-Acting / Extended Release opioids</w:t>
      </w:r>
    </w:p>
    <w:p w14:paraId="56FCF0FF" w14:textId="1E2E3D08" w:rsidR="00DA22A2" w:rsidRDefault="00343B76" w:rsidP="00196299">
      <w:pPr>
        <w:spacing w:before="0" w:after="0" w:line="240" w:lineRule="auto"/>
      </w:pPr>
      <w:r>
        <w:t>**MME: Morphine Milligram Equivalent</w:t>
      </w:r>
    </w:p>
    <w:p w14:paraId="27B53F29" w14:textId="48BCD375" w:rsidR="0005006B" w:rsidRDefault="0005006B" w:rsidP="00A83105">
      <w:pPr>
        <w:spacing w:before="0" w:after="0" w:line="240" w:lineRule="auto"/>
      </w:pPr>
    </w:p>
    <w:p w14:paraId="1A739A46" w14:textId="5CCA9ECF" w:rsidR="00A94F61" w:rsidRPr="00FF439E" w:rsidRDefault="00635358" w:rsidP="00D82D72">
      <w:pPr>
        <w:rPr>
          <w:sz w:val="22"/>
          <w:szCs w:val="22"/>
        </w:rPr>
      </w:pPr>
      <w:r>
        <w:rPr>
          <w:sz w:val="22"/>
          <w:szCs w:val="22"/>
        </w:rPr>
        <w:t>E</w:t>
      </w:r>
      <w:r w:rsidR="00E804E7">
        <w:rPr>
          <w:sz w:val="22"/>
          <w:szCs w:val="22"/>
        </w:rPr>
        <w:t>xisting publicly</w:t>
      </w:r>
      <w:r w:rsidR="003E36D4">
        <w:rPr>
          <w:sz w:val="22"/>
          <w:szCs w:val="22"/>
        </w:rPr>
        <w:t xml:space="preserve"> </w:t>
      </w:r>
      <w:r w:rsidR="00E804E7">
        <w:rPr>
          <w:sz w:val="22"/>
          <w:szCs w:val="22"/>
        </w:rPr>
        <w:t xml:space="preserve">available data and analyses describing opioid use and misuse in Wyoming </w:t>
      </w:r>
      <w:r w:rsidR="00CF1C14">
        <w:rPr>
          <w:sz w:val="22"/>
          <w:szCs w:val="22"/>
        </w:rPr>
        <w:t>provide</w:t>
      </w:r>
      <w:r w:rsidR="00C565DB">
        <w:rPr>
          <w:sz w:val="22"/>
          <w:szCs w:val="22"/>
        </w:rPr>
        <w:t>d</w:t>
      </w:r>
      <w:r w:rsidR="00CF1C14">
        <w:rPr>
          <w:sz w:val="22"/>
          <w:szCs w:val="22"/>
        </w:rPr>
        <w:t xml:space="preserve"> a starting point for understanding factors involved in prescription-opioid overdose in the state</w:t>
      </w:r>
      <w:r w:rsidR="00E804E7">
        <w:rPr>
          <w:sz w:val="22"/>
          <w:szCs w:val="22"/>
        </w:rPr>
        <w:t xml:space="preserve">. </w:t>
      </w:r>
      <w:r w:rsidR="00551B07">
        <w:rPr>
          <w:sz w:val="22"/>
          <w:szCs w:val="22"/>
        </w:rPr>
        <w:t xml:space="preserve"> For example, </w:t>
      </w:r>
      <w:r w:rsidR="00E804E7">
        <w:rPr>
          <w:sz w:val="22"/>
          <w:szCs w:val="22"/>
        </w:rPr>
        <w:t>the</w:t>
      </w:r>
      <w:r w:rsidR="0034091A">
        <w:rPr>
          <w:sz w:val="22"/>
          <w:szCs w:val="22"/>
        </w:rPr>
        <w:t xml:space="preserve"> report authored by Rodney Wambeam </w:t>
      </w:r>
      <w:r w:rsidR="00477163">
        <w:rPr>
          <w:sz w:val="22"/>
          <w:szCs w:val="22"/>
        </w:rPr>
        <w:t xml:space="preserve">and colleagues </w:t>
      </w:r>
      <w:r w:rsidR="0034091A">
        <w:rPr>
          <w:sz w:val="22"/>
          <w:szCs w:val="22"/>
        </w:rPr>
        <w:t xml:space="preserve">for the </w:t>
      </w:r>
      <w:r w:rsidR="00477163">
        <w:rPr>
          <w:sz w:val="22"/>
          <w:szCs w:val="22"/>
        </w:rPr>
        <w:t>Wyoming Survey &amp; Analysis Center (</w:t>
      </w:r>
      <w:r w:rsidR="0034091A">
        <w:rPr>
          <w:sz w:val="22"/>
          <w:szCs w:val="22"/>
        </w:rPr>
        <w:t>WYSAC</w:t>
      </w:r>
      <w:r w:rsidR="00477163">
        <w:rPr>
          <w:sz w:val="22"/>
          <w:szCs w:val="22"/>
        </w:rPr>
        <w:t>)</w:t>
      </w:r>
      <w:r w:rsidR="0034091A">
        <w:rPr>
          <w:sz w:val="22"/>
          <w:szCs w:val="22"/>
        </w:rPr>
        <w:t>, “Telling the Story of Prescription Opioid Use in Wyoming”</w:t>
      </w:r>
      <w:r w:rsidR="00477163">
        <w:rPr>
          <w:sz w:val="22"/>
          <w:szCs w:val="22"/>
        </w:rPr>
        <w:t xml:space="preserve"> (2018), describe</w:t>
      </w:r>
      <w:r w:rsidR="00DA6D90">
        <w:rPr>
          <w:sz w:val="22"/>
          <w:szCs w:val="22"/>
        </w:rPr>
        <w:t>d</w:t>
      </w:r>
      <w:r w:rsidR="00477163">
        <w:rPr>
          <w:sz w:val="22"/>
          <w:szCs w:val="22"/>
        </w:rPr>
        <w:t xml:space="preserve"> opioid use and the potential for misuse in the state</w:t>
      </w:r>
      <w:r>
        <w:rPr>
          <w:sz w:val="22"/>
          <w:szCs w:val="22"/>
        </w:rPr>
        <w:t>,</w:t>
      </w:r>
      <w:r w:rsidR="00477163">
        <w:rPr>
          <w:sz w:val="22"/>
          <w:szCs w:val="22"/>
        </w:rPr>
        <w:t xml:space="preserve"> compared to the nation as a whole</w:t>
      </w:r>
      <w:r>
        <w:rPr>
          <w:sz w:val="22"/>
          <w:szCs w:val="22"/>
        </w:rPr>
        <w:t>,</w:t>
      </w:r>
      <w:r w:rsidR="00251D61">
        <w:rPr>
          <w:sz w:val="22"/>
          <w:szCs w:val="22"/>
        </w:rPr>
        <w:t xml:space="preserve"> based on data for the years prior to those used in this analysis</w:t>
      </w:r>
      <w:r w:rsidR="009544E5">
        <w:rPr>
          <w:sz w:val="22"/>
          <w:szCs w:val="22"/>
        </w:rPr>
        <w:t xml:space="preserve">. </w:t>
      </w:r>
      <w:r w:rsidR="00F27BC5">
        <w:rPr>
          <w:sz w:val="22"/>
          <w:szCs w:val="22"/>
        </w:rPr>
        <w:t xml:space="preserve"> </w:t>
      </w:r>
    </w:p>
    <w:p w14:paraId="4CB787E5" w14:textId="7B2C8A18" w:rsidR="00C72333" w:rsidRDefault="00CF1C14" w:rsidP="00D82D72">
      <w:pPr>
        <w:rPr>
          <w:sz w:val="22"/>
          <w:szCs w:val="22"/>
        </w:rPr>
      </w:pPr>
      <w:r>
        <w:rPr>
          <w:sz w:val="22"/>
          <w:szCs w:val="22"/>
        </w:rPr>
        <w:t>Building upon these resources and recent data related to opioid overdose risk in Wyoming, t</w:t>
      </w:r>
      <w:r w:rsidR="0009756E" w:rsidRPr="00FF439E">
        <w:rPr>
          <w:sz w:val="22"/>
          <w:szCs w:val="22"/>
        </w:rPr>
        <w:t xml:space="preserve">his report summarizes the findings of </w:t>
      </w:r>
      <w:r w:rsidR="00F52A20">
        <w:rPr>
          <w:sz w:val="22"/>
          <w:szCs w:val="22"/>
        </w:rPr>
        <w:t xml:space="preserve">a comprehensive </w:t>
      </w:r>
      <w:r w:rsidR="0009756E" w:rsidRPr="00FF439E">
        <w:rPr>
          <w:sz w:val="22"/>
          <w:szCs w:val="22"/>
        </w:rPr>
        <w:t>opioid-related vulnerability assessment</w:t>
      </w:r>
      <w:r w:rsidR="00E41E89">
        <w:rPr>
          <w:sz w:val="22"/>
          <w:szCs w:val="22"/>
        </w:rPr>
        <w:t xml:space="preserve"> to identify </w:t>
      </w:r>
      <w:r w:rsidR="000159FB">
        <w:rPr>
          <w:sz w:val="22"/>
          <w:szCs w:val="22"/>
        </w:rPr>
        <w:t>counties in Wyoming at increased risk for opioid overdose and associated outcomes (e.g., infectious diseases from injection drug use)</w:t>
      </w:r>
      <w:r w:rsidR="00F52A20">
        <w:rPr>
          <w:sz w:val="22"/>
          <w:szCs w:val="22"/>
        </w:rPr>
        <w:t>.</w:t>
      </w:r>
      <w:r w:rsidR="0009756E" w:rsidRPr="00FF439E">
        <w:rPr>
          <w:sz w:val="22"/>
          <w:szCs w:val="22"/>
        </w:rPr>
        <w:t xml:space="preserve"> </w:t>
      </w:r>
    </w:p>
    <w:p w14:paraId="31CA0155" w14:textId="0823EC9E" w:rsidR="0009756E" w:rsidRPr="00FF439E" w:rsidRDefault="00C72333" w:rsidP="00D82D72">
      <w:pPr>
        <w:rPr>
          <w:sz w:val="22"/>
          <w:szCs w:val="22"/>
        </w:rPr>
      </w:pPr>
      <w:r>
        <w:rPr>
          <w:sz w:val="22"/>
          <w:szCs w:val="22"/>
        </w:rPr>
        <w:br w:type="page"/>
      </w:r>
    </w:p>
    <w:p w14:paraId="46A96597" w14:textId="4E3E49A8" w:rsidR="0009756E" w:rsidRPr="00A83105" w:rsidRDefault="00DA22A2" w:rsidP="00C80C79">
      <w:pPr>
        <w:pStyle w:val="Heading1"/>
      </w:pPr>
      <w:bookmarkStart w:id="3" w:name="_Toc61961292"/>
      <w:r w:rsidRPr="00A83105">
        <w:t>M</w:t>
      </w:r>
      <w:r w:rsidR="00C80C79" w:rsidRPr="00A83105">
        <w:t>ethods</w:t>
      </w:r>
      <w:bookmarkEnd w:id="3"/>
    </w:p>
    <w:p w14:paraId="184906C8" w14:textId="7C25F6D6" w:rsidR="00982AE3" w:rsidRPr="00982AE3" w:rsidRDefault="00982AE3">
      <w:pPr>
        <w:rPr>
          <w:sz w:val="22"/>
          <w:szCs w:val="22"/>
        </w:rPr>
      </w:pPr>
      <w:r>
        <w:rPr>
          <w:b/>
          <w:bCs/>
          <w:sz w:val="22"/>
          <w:szCs w:val="22"/>
        </w:rPr>
        <w:t xml:space="preserve">Collaborative Efforts. </w:t>
      </w:r>
      <w:r w:rsidR="00DC3251">
        <w:rPr>
          <w:sz w:val="22"/>
          <w:szCs w:val="22"/>
        </w:rPr>
        <w:t>Our collaborative team of</w:t>
      </w:r>
      <w:r w:rsidR="007B5DB1">
        <w:rPr>
          <w:sz w:val="22"/>
          <w:szCs w:val="22"/>
        </w:rPr>
        <w:t xml:space="preserve"> </w:t>
      </w:r>
      <w:r w:rsidR="00DC3251">
        <w:rPr>
          <w:sz w:val="22"/>
          <w:szCs w:val="22"/>
        </w:rPr>
        <w:t xml:space="preserve">researchers and </w:t>
      </w:r>
      <w:r w:rsidR="007B5DB1">
        <w:rPr>
          <w:sz w:val="22"/>
          <w:szCs w:val="22"/>
        </w:rPr>
        <w:t>public health experts</w:t>
      </w:r>
      <w:r w:rsidR="00DC3251">
        <w:rPr>
          <w:sz w:val="22"/>
          <w:szCs w:val="22"/>
        </w:rPr>
        <w:t xml:space="preserve"> </w:t>
      </w:r>
      <w:r>
        <w:rPr>
          <w:sz w:val="22"/>
          <w:szCs w:val="22"/>
        </w:rPr>
        <w:t xml:space="preserve">from </w:t>
      </w:r>
      <w:r w:rsidR="00310CE2">
        <w:rPr>
          <w:sz w:val="22"/>
          <w:szCs w:val="22"/>
        </w:rPr>
        <w:t xml:space="preserve">the </w:t>
      </w:r>
      <w:r>
        <w:rPr>
          <w:sz w:val="22"/>
          <w:szCs w:val="22"/>
        </w:rPr>
        <w:t>Tufts</w:t>
      </w:r>
      <w:r w:rsidR="00310CE2">
        <w:rPr>
          <w:sz w:val="22"/>
          <w:szCs w:val="22"/>
        </w:rPr>
        <w:t xml:space="preserve"> University School of Medicine</w:t>
      </w:r>
      <w:r>
        <w:rPr>
          <w:sz w:val="22"/>
          <w:szCs w:val="22"/>
        </w:rPr>
        <w:t>, the Wyoming Department of Health</w:t>
      </w:r>
      <w:r w:rsidR="004A1ADF">
        <w:rPr>
          <w:sz w:val="22"/>
          <w:szCs w:val="22"/>
        </w:rPr>
        <w:t xml:space="preserve"> (WY-DOH)</w:t>
      </w:r>
      <w:r>
        <w:rPr>
          <w:sz w:val="22"/>
          <w:szCs w:val="22"/>
        </w:rPr>
        <w:t xml:space="preserve">, the Centers for Disease Control and Prevention (CDC), and the Council of State and Territorial Epidemiologists (CSTE) held biweekly videoconferences to </w:t>
      </w:r>
      <w:r w:rsidR="00310CE2">
        <w:rPr>
          <w:sz w:val="22"/>
          <w:szCs w:val="22"/>
        </w:rPr>
        <w:t xml:space="preserve">discuss </w:t>
      </w:r>
      <w:r w:rsidR="007B5DB1">
        <w:rPr>
          <w:sz w:val="22"/>
          <w:szCs w:val="22"/>
        </w:rPr>
        <w:t xml:space="preserve">opioid vulnerability assessment goals and plans, </w:t>
      </w:r>
      <w:r w:rsidR="00310CE2">
        <w:rPr>
          <w:sz w:val="22"/>
          <w:szCs w:val="22"/>
        </w:rPr>
        <w:t>define outcome</w:t>
      </w:r>
      <w:r w:rsidR="00A24597">
        <w:rPr>
          <w:sz w:val="22"/>
          <w:szCs w:val="22"/>
        </w:rPr>
        <w:t>s</w:t>
      </w:r>
      <w:r w:rsidR="00310CE2">
        <w:rPr>
          <w:sz w:val="22"/>
          <w:szCs w:val="22"/>
        </w:rPr>
        <w:t xml:space="preserve"> and covariate measures of interest, </w:t>
      </w:r>
      <w:r w:rsidR="007B5DB1">
        <w:rPr>
          <w:sz w:val="22"/>
          <w:szCs w:val="22"/>
        </w:rPr>
        <w:t xml:space="preserve">identify relevant data sources, </w:t>
      </w:r>
      <w:r w:rsidR="00310CE2">
        <w:rPr>
          <w:sz w:val="22"/>
          <w:szCs w:val="22"/>
        </w:rPr>
        <w:t xml:space="preserve">discuss </w:t>
      </w:r>
      <w:r w:rsidR="00624362">
        <w:rPr>
          <w:sz w:val="22"/>
          <w:szCs w:val="22"/>
        </w:rPr>
        <w:t xml:space="preserve">risk </w:t>
      </w:r>
      <w:r w:rsidR="007B5DB1">
        <w:rPr>
          <w:sz w:val="22"/>
          <w:szCs w:val="22"/>
        </w:rPr>
        <w:t>mapping, spatial and statisti</w:t>
      </w:r>
      <w:r w:rsidR="00624362">
        <w:rPr>
          <w:sz w:val="22"/>
          <w:szCs w:val="22"/>
        </w:rPr>
        <w:t>cal analyses, and</w:t>
      </w:r>
      <w:r w:rsidR="007B5DB1">
        <w:rPr>
          <w:sz w:val="22"/>
          <w:szCs w:val="22"/>
        </w:rPr>
        <w:t xml:space="preserve"> update the </w:t>
      </w:r>
      <w:r w:rsidR="00310CE2">
        <w:rPr>
          <w:sz w:val="22"/>
          <w:szCs w:val="22"/>
        </w:rPr>
        <w:t xml:space="preserve">status </w:t>
      </w:r>
      <w:r w:rsidR="007B5DB1">
        <w:rPr>
          <w:sz w:val="22"/>
          <w:szCs w:val="22"/>
        </w:rPr>
        <w:t>of deliverables</w:t>
      </w:r>
      <w:r w:rsidR="00310CE2">
        <w:rPr>
          <w:sz w:val="22"/>
          <w:szCs w:val="22"/>
        </w:rPr>
        <w:t xml:space="preserve">. </w:t>
      </w:r>
    </w:p>
    <w:p w14:paraId="2C414721" w14:textId="6E1193CB" w:rsidR="00B9542B" w:rsidRDefault="00C80C79">
      <w:pPr>
        <w:rPr>
          <w:sz w:val="22"/>
          <w:szCs w:val="22"/>
        </w:rPr>
      </w:pPr>
      <w:r w:rsidRPr="00FF439E">
        <w:rPr>
          <w:b/>
          <w:bCs/>
          <w:sz w:val="22"/>
          <w:szCs w:val="22"/>
        </w:rPr>
        <w:t xml:space="preserve">Data Sources. </w:t>
      </w:r>
      <w:r w:rsidR="00DC3251">
        <w:rPr>
          <w:bCs/>
          <w:sz w:val="22"/>
          <w:szCs w:val="22"/>
        </w:rPr>
        <w:t>We compiled</w:t>
      </w:r>
      <w:r w:rsidR="00FF439E">
        <w:rPr>
          <w:sz w:val="22"/>
          <w:szCs w:val="22"/>
        </w:rPr>
        <w:t xml:space="preserve"> </w:t>
      </w:r>
      <w:r w:rsidR="00DC3251">
        <w:rPr>
          <w:sz w:val="22"/>
          <w:szCs w:val="22"/>
        </w:rPr>
        <w:t xml:space="preserve">county-level </w:t>
      </w:r>
      <w:r w:rsidR="00FF439E">
        <w:rPr>
          <w:sz w:val="22"/>
          <w:szCs w:val="22"/>
        </w:rPr>
        <w:t>aggregated, de</w:t>
      </w:r>
      <w:r w:rsidR="00392F41">
        <w:rPr>
          <w:sz w:val="22"/>
          <w:szCs w:val="22"/>
        </w:rPr>
        <w:t>-</w:t>
      </w:r>
      <w:r w:rsidR="00FF439E">
        <w:rPr>
          <w:sz w:val="22"/>
          <w:szCs w:val="22"/>
        </w:rPr>
        <w:t xml:space="preserve">identified data related to opioid-overdose mortality and </w:t>
      </w:r>
      <w:r w:rsidR="00DC3251">
        <w:rPr>
          <w:sz w:val="22"/>
          <w:szCs w:val="22"/>
        </w:rPr>
        <w:t xml:space="preserve">a wide range of </w:t>
      </w:r>
      <w:r w:rsidR="00FF439E">
        <w:rPr>
          <w:sz w:val="22"/>
          <w:szCs w:val="22"/>
        </w:rPr>
        <w:t xml:space="preserve">covariates. </w:t>
      </w:r>
      <w:r w:rsidR="00DC3251">
        <w:rPr>
          <w:sz w:val="22"/>
          <w:szCs w:val="22"/>
        </w:rPr>
        <w:t>We compiled these data</w:t>
      </w:r>
      <w:r w:rsidR="00FF439E">
        <w:rPr>
          <w:sz w:val="22"/>
          <w:szCs w:val="22"/>
        </w:rPr>
        <w:t xml:space="preserve"> for the most recent years for which </w:t>
      </w:r>
      <w:r w:rsidR="00DC3251">
        <w:rPr>
          <w:sz w:val="22"/>
          <w:szCs w:val="22"/>
        </w:rPr>
        <w:t xml:space="preserve">they were </w:t>
      </w:r>
      <w:r w:rsidR="00FF439E">
        <w:rPr>
          <w:sz w:val="22"/>
          <w:szCs w:val="22"/>
        </w:rPr>
        <w:t>complete</w:t>
      </w:r>
      <w:r w:rsidR="00DC3251">
        <w:rPr>
          <w:sz w:val="22"/>
          <w:szCs w:val="22"/>
        </w:rPr>
        <w:t>:</w:t>
      </w:r>
      <w:r w:rsidR="00FF439E">
        <w:rPr>
          <w:sz w:val="22"/>
          <w:szCs w:val="22"/>
        </w:rPr>
        <w:t xml:space="preserve"> 2016-2018. However, due to suppression of small case numbers for </w:t>
      </w:r>
      <w:r w:rsidR="00A24597">
        <w:rPr>
          <w:sz w:val="22"/>
          <w:szCs w:val="22"/>
        </w:rPr>
        <w:t xml:space="preserve">several </w:t>
      </w:r>
      <w:r w:rsidR="00FF439E">
        <w:rPr>
          <w:sz w:val="22"/>
          <w:szCs w:val="22"/>
        </w:rPr>
        <w:t>Wyoming counties,</w:t>
      </w:r>
      <w:r w:rsidR="0002453F">
        <w:rPr>
          <w:sz w:val="22"/>
          <w:szCs w:val="22"/>
        </w:rPr>
        <w:t xml:space="preserve"> we used data from a longer time frame</w:t>
      </w:r>
      <w:r w:rsidR="004A1ADF">
        <w:rPr>
          <w:sz w:val="22"/>
          <w:szCs w:val="22"/>
        </w:rPr>
        <w:t xml:space="preserve"> (2008-2018)</w:t>
      </w:r>
      <w:r w:rsidR="00A24597">
        <w:rPr>
          <w:sz w:val="22"/>
          <w:szCs w:val="22"/>
        </w:rPr>
        <w:t xml:space="preserve"> for our outcome measure, opioid-related overdose fatalities,</w:t>
      </w:r>
      <w:r w:rsidR="0002453F">
        <w:rPr>
          <w:sz w:val="22"/>
          <w:szCs w:val="22"/>
        </w:rPr>
        <w:t xml:space="preserve"> to allow for more robust analysis</w:t>
      </w:r>
      <w:r w:rsidR="00076255">
        <w:rPr>
          <w:sz w:val="22"/>
          <w:szCs w:val="22"/>
        </w:rPr>
        <w:t xml:space="preserve">. </w:t>
      </w:r>
      <w:r w:rsidR="0002453F">
        <w:rPr>
          <w:sz w:val="22"/>
          <w:szCs w:val="22"/>
        </w:rPr>
        <w:t>We downloaded demographic and socioeconomic data from the U.S. Census Bureau’s American Community Survey (ACS)</w:t>
      </w:r>
      <w:r w:rsidR="004A1ADF">
        <w:rPr>
          <w:sz w:val="22"/>
          <w:szCs w:val="22"/>
        </w:rPr>
        <w:t xml:space="preserve"> 2014-2018 five-year estimates</w:t>
      </w:r>
      <w:r w:rsidR="0002453F">
        <w:rPr>
          <w:sz w:val="22"/>
          <w:szCs w:val="22"/>
        </w:rPr>
        <w:t>.</w:t>
      </w:r>
      <w:r w:rsidR="004A1ADF">
        <w:rPr>
          <w:sz w:val="22"/>
          <w:szCs w:val="22"/>
        </w:rPr>
        <w:fldChar w:fldCharType="begin"/>
      </w:r>
      <w:r w:rsidR="00C86F17">
        <w:rPr>
          <w:sz w:val="22"/>
          <w:szCs w:val="22"/>
        </w:rPr>
        <w:instrText xml:space="preserve"> ADDIN ZOTERO_ITEM CSL_CITATION {"citationID":"COFhwIWs","properties":{"formattedCitation":"\\super 6\\nosupersub{}","plainCitation":"6","noteIndex":0},"citationItems":[{"id":68,"uris":["http://zotero.org/users/454081/items/RX9DSN2L"],"uri":["http://zotero.org/users/454081/items/RX9DSN2L"],"itemData":{"id":68,"type":"webpage","title":"American Community Survey, ACS 2014-2018 5-Year Estimates","URL":"https://www.census.gov/acs/www/data/data-tables-and-tools/data-profiles/","author":[{"family":"U.S. Census Bureau","given":""}],"issued":{"date-parts":[["2018"]]}}}],"schema":"https://github.com/citation-style-language/schema/raw/master/csl-citation.json"} </w:instrText>
      </w:r>
      <w:r w:rsidR="004A1ADF">
        <w:rPr>
          <w:sz w:val="22"/>
          <w:szCs w:val="22"/>
        </w:rPr>
        <w:fldChar w:fldCharType="separate"/>
      </w:r>
      <w:r w:rsidR="00C86F17" w:rsidRPr="00C86F17">
        <w:rPr>
          <w:rFonts w:ascii="Calibri" w:hAnsi="Calibri" w:cs="Calibri"/>
          <w:sz w:val="22"/>
          <w:szCs w:val="24"/>
          <w:vertAlign w:val="superscript"/>
        </w:rPr>
        <w:t>6</w:t>
      </w:r>
      <w:r w:rsidR="004A1ADF">
        <w:rPr>
          <w:sz w:val="22"/>
          <w:szCs w:val="22"/>
        </w:rPr>
        <w:fldChar w:fldCharType="end"/>
      </w:r>
      <w:r w:rsidR="002F58A8">
        <w:rPr>
          <w:sz w:val="22"/>
          <w:szCs w:val="22"/>
        </w:rPr>
        <w:t xml:space="preserve"> We used ACS population estimates to calculate rates when the rates wer</w:t>
      </w:r>
      <w:r w:rsidR="00B9542B">
        <w:rPr>
          <w:sz w:val="22"/>
          <w:szCs w:val="22"/>
        </w:rPr>
        <w:t xml:space="preserve">e not </w:t>
      </w:r>
      <w:r w:rsidR="00A24597">
        <w:rPr>
          <w:sz w:val="22"/>
          <w:szCs w:val="22"/>
        </w:rPr>
        <w:t>provided by</w:t>
      </w:r>
      <w:r w:rsidR="00B9542B">
        <w:rPr>
          <w:sz w:val="22"/>
          <w:szCs w:val="22"/>
        </w:rPr>
        <w:t xml:space="preserve"> </w:t>
      </w:r>
      <w:r w:rsidR="00635358">
        <w:rPr>
          <w:sz w:val="22"/>
          <w:szCs w:val="22"/>
        </w:rPr>
        <w:t>WY-</w:t>
      </w:r>
      <w:r w:rsidR="00DC3251">
        <w:rPr>
          <w:sz w:val="22"/>
          <w:szCs w:val="22"/>
        </w:rPr>
        <w:t>DOH</w:t>
      </w:r>
      <w:r w:rsidR="00B9542B">
        <w:rPr>
          <w:sz w:val="22"/>
          <w:szCs w:val="22"/>
        </w:rPr>
        <w:t xml:space="preserve">. </w:t>
      </w:r>
    </w:p>
    <w:p w14:paraId="0601AF68" w14:textId="63ADBBD0" w:rsidR="00AA22A4" w:rsidRDefault="00DC3251">
      <w:pPr>
        <w:rPr>
          <w:sz w:val="22"/>
          <w:szCs w:val="22"/>
        </w:rPr>
      </w:pPr>
      <w:r>
        <w:rPr>
          <w:sz w:val="22"/>
          <w:szCs w:val="22"/>
        </w:rPr>
        <w:t>We also compiled</w:t>
      </w:r>
      <w:r w:rsidR="00280114">
        <w:rPr>
          <w:sz w:val="22"/>
          <w:szCs w:val="22"/>
        </w:rPr>
        <w:t xml:space="preserve"> addresses for substance use</w:t>
      </w:r>
      <w:r w:rsidR="00AD1C45">
        <w:rPr>
          <w:sz w:val="22"/>
          <w:szCs w:val="22"/>
        </w:rPr>
        <w:t xml:space="preserve"> </w:t>
      </w:r>
      <w:r w:rsidR="00280114">
        <w:rPr>
          <w:sz w:val="22"/>
          <w:szCs w:val="22"/>
        </w:rPr>
        <w:t>treatment and mental health services, medication for addiction therapy (MAT) services, naloxone retailers, and drug-take-back locations</w:t>
      </w:r>
      <w:r w:rsidR="005375BC">
        <w:rPr>
          <w:sz w:val="22"/>
          <w:szCs w:val="22"/>
        </w:rPr>
        <w:t xml:space="preserve"> from WY data sources and </w:t>
      </w:r>
      <w:r w:rsidR="00AD1C45">
        <w:rPr>
          <w:sz w:val="22"/>
          <w:szCs w:val="22"/>
        </w:rPr>
        <w:t xml:space="preserve">the Substance Abuse Mental Health Services Administration (SAMHSA) online treatment locator. </w:t>
      </w:r>
      <w:r w:rsidR="00280114">
        <w:rPr>
          <w:sz w:val="22"/>
          <w:szCs w:val="22"/>
        </w:rPr>
        <w:t>We</w:t>
      </w:r>
      <w:r w:rsidR="00AA22A4">
        <w:rPr>
          <w:sz w:val="22"/>
          <w:szCs w:val="22"/>
        </w:rPr>
        <w:t xml:space="preserve"> compiled, geocoded, and mapped </w:t>
      </w:r>
      <w:r w:rsidR="00AD1C45">
        <w:rPr>
          <w:sz w:val="22"/>
          <w:szCs w:val="22"/>
        </w:rPr>
        <w:t>these addresses</w:t>
      </w:r>
      <w:r w:rsidR="00AA22A4">
        <w:rPr>
          <w:sz w:val="22"/>
          <w:szCs w:val="22"/>
        </w:rPr>
        <w:t xml:space="preserve"> to assess</w:t>
      </w:r>
      <w:r w:rsidR="007B5DB1">
        <w:rPr>
          <w:sz w:val="22"/>
          <w:szCs w:val="22"/>
        </w:rPr>
        <w:t xml:space="preserve"> access</w:t>
      </w:r>
      <w:r w:rsidR="00AA22A4">
        <w:rPr>
          <w:sz w:val="22"/>
          <w:szCs w:val="22"/>
        </w:rPr>
        <w:t xml:space="preserve">. We also </w:t>
      </w:r>
      <w:r w:rsidR="005375BC">
        <w:rPr>
          <w:sz w:val="22"/>
          <w:szCs w:val="22"/>
        </w:rPr>
        <w:t xml:space="preserve">compiled </w:t>
      </w:r>
      <w:r w:rsidR="00AA22A4">
        <w:rPr>
          <w:sz w:val="22"/>
          <w:szCs w:val="22"/>
        </w:rPr>
        <w:t>buprenorphine prescription capacity</w:t>
      </w:r>
      <w:r w:rsidR="005375BC">
        <w:rPr>
          <w:sz w:val="22"/>
          <w:szCs w:val="22"/>
        </w:rPr>
        <w:t xml:space="preserve"> data through WY-DOH and the</w:t>
      </w:r>
      <w:r w:rsidR="00AA22A4">
        <w:rPr>
          <w:sz w:val="22"/>
          <w:szCs w:val="22"/>
        </w:rPr>
        <w:t xml:space="preserve"> U.S. Drug Enforcement Administration (DEA). Finally, we downloaded shapefiles from the Health Resources and Services Administration (HRSA) identifying Health Professional Shortage Area (HPSA) boundaries. </w:t>
      </w:r>
    </w:p>
    <w:p w14:paraId="45AB23C7" w14:textId="1B0B01F7" w:rsidR="0002453F" w:rsidRDefault="0002453F">
      <w:pPr>
        <w:rPr>
          <w:sz w:val="22"/>
          <w:szCs w:val="22"/>
        </w:rPr>
      </w:pPr>
      <w:r w:rsidRPr="0002453F">
        <w:rPr>
          <w:b/>
          <w:bCs/>
          <w:sz w:val="22"/>
          <w:szCs w:val="22"/>
        </w:rPr>
        <w:t>Unit of Analysis.</w:t>
      </w:r>
      <w:r>
        <w:rPr>
          <w:sz w:val="22"/>
          <w:szCs w:val="22"/>
        </w:rPr>
        <w:t xml:space="preserve"> </w:t>
      </w:r>
      <w:r w:rsidR="00CF1C14">
        <w:rPr>
          <w:sz w:val="22"/>
          <w:szCs w:val="22"/>
        </w:rPr>
        <w:t xml:space="preserve">We </w:t>
      </w:r>
      <w:r w:rsidR="00AD1C45">
        <w:rPr>
          <w:sz w:val="22"/>
          <w:szCs w:val="22"/>
        </w:rPr>
        <w:t xml:space="preserve">used </w:t>
      </w:r>
      <w:r w:rsidR="00CF1C14">
        <w:rPr>
          <w:sz w:val="22"/>
          <w:szCs w:val="22"/>
        </w:rPr>
        <w:t>the county as</w:t>
      </w:r>
      <w:r>
        <w:rPr>
          <w:sz w:val="22"/>
          <w:szCs w:val="22"/>
        </w:rPr>
        <w:t xml:space="preserve"> the unit of analysis (n=23)</w:t>
      </w:r>
      <w:r w:rsidR="00AD1C45">
        <w:rPr>
          <w:sz w:val="22"/>
          <w:szCs w:val="22"/>
        </w:rPr>
        <w:t xml:space="preserve"> for the majority of risk maps and all calculations related to the vulnerability scores and rankings</w:t>
      </w:r>
      <w:r>
        <w:rPr>
          <w:sz w:val="22"/>
          <w:szCs w:val="22"/>
        </w:rPr>
        <w:t>.</w:t>
      </w:r>
      <w:r w:rsidR="006E17EB">
        <w:rPr>
          <w:sz w:val="22"/>
          <w:szCs w:val="22"/>
        </w:rPr>
        <w:t xml:space="preserve"> For some sociodemographic measures,</w:t>
      </w:r>
      <w:r w:rsidR="00AD1C45">
        <w:rPr>
          <w:sz w:val="22"/>
          <w:szCs w:val="22"/>
        </w:rPr>
        <w:t xml:space="preserve"> such as per capita income,</w:t>
      </w:r>
      <w:r w:rsidR="006E17EB">
        <w:rPr>
          <w:sz w:val="22"/>
          <w:szCs w:val="22"/>
        </w:rPr>
        <w:t xml:space="preserve"> we mapped census tracts in the Wind River Reservation, but these </w:t>
      </w:r>
      <w:r w:rsidR="001641CD">
        <w:rPr>
          <w:sz w:val="22"/>
          <w:szCs w:val="22"/>
        </w:rPr>
        <w:t xml:space="preserve">data </w:t>
      </w:r>
      <w:r w:rsidR="006E17EB">
        <w:rPr>
          <w:sz w:val="22"/>
          <w:szCs w:val="22"/>
        </w:rPr>
        <w:t xml:space="preserve">were used only in descriptive maps and were not part of the </w:t>
      </w:r>
      <w:r w:rsidR="00AD1C45">
        <w:rPr>
          <w:sz w:val="22"/>
          <w:szCs w:val="22"/>
        </w:rPr>
        <w:t>vulnerability scores</w:t>
      </w:r>
      <w:r w:rsidR="006E17EB">
        <w:rPr>
          <w:sz w:val="22"/>
          <w:szCs w:val="22"/>
        </w:rPr>
        <w:t>.</w:t>
      </w:r>
      <w:r w:rsidR="005E198E">
        <w:rPr>
          <w:sz w:val="22"/>
          <w:szCs w:val="22"/>
        </w:rPr>
        <w:t xml:space="preserve"> </w:t>
      </w:r>
      <w:r w:rsidR="000D5B1E">
        <w:rPr>
          <w:sz w:val="22"/>
          <w:szCs w:val="22"/>
        </w:rPr>
        <w:t xml:space="preserve">Wind River Reservation is made up of over 2 million acres, primarily in Fremont County and a small portion of Hot Springs County; we were not able to disaggregate the data to include Wind River as a separate unit within the vulnerability rankings. </w:t>
      </w:r>
      <w:r w:rsidR="005E198E">
        <w:rPr>
          <w:sz w:val="22"/>
          <w:szCs w:val="22"/>
        </w:rPr>
        <w:t xml:space="preserve">We also used census tracts as the unit </w:t>
      </w:r>
      <w:r w:rsidR="00635358">
        <w:rPr>
          <w:sz w:val="22"/>
          <w:szCs w:val="22"/>
        </w:rPr>
        <w:t xml:space="preserve">of analysis </w:t>
      </w:r>
      <w:r w:rsidR="005E198E">
        <w:rPr>
          <w:sz w:val="22"/>
          <w:szCs w:val="22"/>
        </w:rPr>
        <w:t xml:space="preserve">for </w:t>
      </w:r>
      <w:r w:rsidR="00A11FA4">
        <w:rPr>
          <w:sz w:val="22"/>
          <w:szCs w:val="22"/>
        </w:rPr>
        <w:t xml:space="preserve">a </w:t>
      </w:r>
      <w:r w:rsidR="005E198E">
        <w:rPr>
          <w:sz w:val="22"/>
          <w:szCs w:val="22"/>
        </w:rPr>
        <w:t>2-step floating catchment area (2SFCA) analysis</w:t>
      </w:r>
      <w:r w:rsidR="007B5DB1">
        <w:rPr>
          <w:sz w:val="22"/>
          <w:szCs w:val="22"/>
        </w:rPr>
        <w:t xml:space="preserve"> described below</w:t>
      </w:r>
      <w:r w:rsidR="005E198E">
        <w:rPr>
          <w:sz w:val="22"/>
          <w:szCs w:val="22"/>
        </w:rPr>
        <w:t>.</w:t>
      </w:r>
      <w:r w:rsidR="00AD1C45">
        <w:rPr>
          <w:sz w:val="22"/>
          <w:szCs w:val="22"/>
        </w:rPr>
        <w:t xml:space="preserve"> Finally, we mapped </w:t>
      </w:r>
      <w:r w:rsidR="005375BC">
        <w:rPr>
          <w:sz w:val="22"/>
          <w:szCs w:val="22"/>
        </w:rPr>
        <w:t xml:space="preserve">the spatial distribution of </w:t>
      </w:r>
      <w:r w:rsidR="00AD1C45">
        <w:rPr>
          <w:sz w:val="22"/>
          <w:szCs w:val="22"/>
        </w:rPr>
        <w:t xml:space="preserve">buprenorphine prescription capacity by ZIP </w:t>
      </w:r>
      <w:r w:rsidR="005375BC">
        <w:rPr>
          <w:sz w:val="22"/>
          <w:szCs w:val="22"/>
        </w:rPr>
        <w:t>C</w:t>
      </w:r>
      <w:r w:rsidR="00AD1C45">
        <w:rPr>
          <w:sz w:val="22"/>
          <w:szCs w:val="22"/>
        </w:rPr>
        <w:t>ode, which was the unit in which th</w:t>
      </w:r>
      <w:r w:rsidR="005375BC">
        <w:rPr>
          <w:sz w:val="22"/>
          <w:szCs w:val="22"/>
        </w:rPr>
        <w:t>ese</w:t>
      </w:r>
      <w:r w:rsidR="00AD1C45">
        <w:rPr>
          <w:sz w:val="22"/>
          <w:szCs w:val="22"/>
        </w:rPr>
        <w:t xml:space="preserve"> data w</w:t>
      </w:r>
      <w:r w:rsidR="005375BC">
        <w:rPr>
          <w:sz w:val="22"/>
          <w:szCs w:val="22"/>
        </w:rPr>
        <w:t>ere</w:t>
      </w:r>
      <w:r w:rsidR="00AD1C45">
        <w:rPr>
          <w:sz w:val="22"/>
          <w:szCs w:val="22"/>
        </w:rPr>
        <w:t xml:space="preserve"> provided. These data were not included in the weighted</w:t>
      </w:r>
      <w:r w:rsidR="00A24597">
        <w:rPr>
          <w:sz w:val="22"/>
          <w:szCs w:val="22"/>
        </w:rPr>
        <w:t xml:space="preserve"> ranks</w:t>
      </w:r>
      <w:r w:rsidR="00AD1C45">
        <w:rPr>
          <w:sz w:val="22"/>
          <w:szCs w:val="22"/>
        </w:rPr>
        <w:t>.</w:t>
      </w:r>
      <w:r w:rsidR="005E198E">
        <w:rPr>
          <w:sz w:val="22"/>
          <w:szCs w:val="22"/>
        </w:rPr>
        <w:t xml:space="preserve"> </w:t>
      </w:r>
    </w:p>
    <w:p w14:paraId="585D00CB" w14:textId="7963FD1D" w:rsidR="0002453F" w:rsidRPr="00A37485" w:rsidRDefault="00002A10" w:rsidP="000F43B3">
      <w:pPr>
        <w:spacing w:after="0"/>
        <w:rPr>
          <w:b/>
          <w:bCs/>
          <w:sz w:val="22"/>
          <w:szCs w:val="22"/>
        </w:rPr>
      </w:pPr>
      <w:r>
        <w:rPr>
          <w:b/>
          <w:bCs/>
          <w:sz w:val="22"/>
          <w:szCs w:val="22"/>
        </w:rPr>
        <w:t xml:space="preserve">Measures. </w:t>
      </w:r>
      <w:r w:rsidR="0002453F" w:rsidRPr="00A37485">
        <w:rPr>
          <w:i/>
          <w:iCs/>
          <w:sz w:val="22"/>
          <w:szCs w:val="22"/>
        </w:rPr>
        <w:t>Core</w:t>
      </w:r>
      <w:r>
        <w:rPr>
          <w:i/>
          <w:iCs/>
          <w:sz w:val="22"/>
          <w:szCs w:val="22"/>
        </w:rPr>
        <w:t>:</w:t>
      </w:r>
      <w:r w:rsidR="00635358">
        <w:rPr>
          <w:sz w:val="22"/>
          <w:szCs w:val="22"/>
        </w:rPr>
        <w:t xml:space="preserve"> </w:t>
      </w:r>
      <w:r>
        <w:rPr>
          <w:sz w:val="22"/>
          <w:szCs w:val="22"/>
        </w:rPr>
        <w:t>W</w:t>
      </w:r>
      <w:r w:rsidR="0002453F">
        <w:rPr>
          <w:sz w:val="22"/>
          <w:szCs w:val="22"/>
        </w:rPr>
        <w:t>e used five core indicators in the spatial and statistical analyses</w:t>
      </w:r>
      <w:r>
        <w:rPr>
          <w:sz w:val="22"/>
          <w:szCs w:val="22"/>
        </w:rPr>
        <w:t xml:space="preserve">, </w:t>
      </w:r>
      <w:r w:rsidR="00A1584F">
        <w:rPr>
          <w:sz w:val="22"/>
          <w:szCs w:val="22"/>
        </w:rPr>
        <w:t>based on previous publications and subject matter expertise from</w:t>
      </w:r>
      <w:r>
        <w:rPr>
          <w:sz w:val="22"/>
          <w:szCs w:val="22"/>
        </w:rPr>
        <w:t xml:space="preserve"> CDC and CSTE</w:t>
      </w:r>
      <w:r w:rsidR="0002453F">
        <w:rPr>
          <w:sz w:val="22"/>
          <w:szCs w:val="22"/>
        </w:rPr>
        <w:t>.</w:t>
      </w:r>
      <w:r>
        <w:rPr>
          <w:sz w:val="22"/>
          <w:szCs w:val="22"/>
        </w:rPr>
        <w:fldChar w:fldCharType="begin"/>
      </w:r>
      <w:r w:rsidR="005E1CCC">
        <w:rPr>
          <w:sz w:val="22"/>
          <w:szCs w:val="22"/>
        </w:rPr>
        <w:instrText xml:space="preserve"> ADDIN ZOTERO_ITEM CSL_CITATION {"citationID":"VEE5Y5Fd","properties":{"formattedCitation":"\\super 14\\nosupersub{}","plainCitation":"14","noteIndex":0},"citationItems":[{"id":341,"uris":["http://zotero.org/users/454081/items/UKYMHCAJ"],"uri":["http://zotero.org/users/454081/items/UKYMHCAJ"],"itemData":{"id":341,"type":"article-journal","abstract":"Objective—A recent HIV outbreak in a rural network of persons who inject drugs (PWID) underscored the intersection of the expanding epidemics of opioid abuse, injection drug use (IDU), and associated increases in hepatitis C virus (HCV) infections. We sought to identify U.S. communities especially vulnerable to rapid spread of IDU-associated HIV, if introduced, and new or continuing high rates of HCV infections.","container-title":"JAIDS Journal of Acquired Immune Deficiency Syndromes","DOI":"10.1097/QAI.0000000000001098","ISSN":"1525-4135","issue":"3","journalAbbreviation":"JAIDS Journal of Acquired Immune Deficiency Syndromes","language":"en","page":"323-331","source":"DOI.org (Crossref)","title":"County-Level Vulnerability Assessment for Rapid Dissemination of HIV or HCV Infections Among Persons Who Inject Drugs, United States:","title-short":"County-Level Vulnerability Assessment for Rapid Dissemination of HIV or HCV Infections Among Persons Who Inject Drugs, United States","volume":"73","author":[{"family":"Van Handel","given":"Michelle M."},{"family":"Rose","given":"Charles E."},{"family":"Hallisey","given":"Elaine J."},{"family":"Kolling","given":"Jessica L."},{"family":"Zibbell","given":"Jon E."},{"family":"Lewis","given":"Brian"},{"family":"Bohm","given":"Michele K."},{"family":"Jones","given":"Christopher M."},{"family":"Flanagan","given":"Barry E."},{"family":"Siddiqi","given":"Azfar-E-Alam"},{"family":"Iqbal","given":"Kashif"},{"family":"Dent","given":"Andrew L."},{"family":"Mermin","given":"Jonathan H."},{"family":"McCray","given":"Eugene"},{"family":"Ward","given":"John W."},{"family":"Brooks","given":"John T."}],"issued":{"date-parts":[["2016",11]]}}}],"schema":"https://github.com/citation-style-language/schema/raw/master/csl-citation.json"} </w:instrText>
      </w:r>
      <w:r>
        <w:rPr>
          <w:sz w:val="22"/>
          <w:szCs w:val="22"/>
        </w:rPr>
        <w:fldChar w:fldCharType="separate"/>
      </w:r>
      <w:r w:rsidR="005E1CCC" w:rsidRPr="005E1CCC">
        <w:rPr>
          <w:rFonts w:ascii="Calibri" w:hAnsi="Calibri" w:cs="Calibri"/>
          <w:sz w:val="22"/>
          <w:szCs w:val="24"/>
          <w:vertAlign w:val="superscript"/>
        </w:rPr>
        <w:t>14</w:t>
      </w:r>
      <w:r>
        <w:rPr>
          <w:sz w:val="22"/>
          <w:szCs w:val="22"/>
        </w:rPr>
        <w:fldChar w:fldCharType="end"/>
      </w:r>
      <w:r w:rsidR="0002453F">
        <w:rPr>
          <w:sz w:val="22"/>
          <w:szCs w:val="22"/>
        </w:rPr>
        <w:t xml:space="preserve"> These included: opioid-related overdose</w:t>
      </w:r>
      <w:r>
        <w:rPr>
          <w:sz w:val="22"/>
          <w:szCs w:val="22"/>
        </w:rPr>
        <w:t xml:space="preserve"> deaths</w:t>
      </w:r>
      <w:r w:rsidR="0002453F">
        <w:rPr>
          <w:sz w:val="22"/>
          <w:szCs w:val="22"/>
        </w:rPr>
        <w:t xml:space="preserve">, drug-related crime, </w:t>
      </w:r>
      <w:r w:rsidR="00FD3BFA">
        <w:rPr>
          <w:sz w:val="22"/>
          <w:szCs w:val="22"/>
        </w:rPr>
        <w:t>retail opioid prescriptions dispensed,</w:t>
      </w:r>
      <w:r w:rsidR="0002453F">
        <w:rPr>
          <w:sz w:val="22"/>
          <w:szCs w:val="22"/>
        </w:rPr>
        <w:t xml:space="preserve"> per capita income, and chronic hepatitis C virus (HCV) </w:t>
      </w:r>
      <w:r w:rsidR="001641CD">
        <w:rPr>
          <w:sz w:val="22"/>
          <w:szCs w:val="22"/>
        </w:rPr>
        <w:t xml:space="preserve">rates for individuals </w:t>
      </w:r>
      <w:r w:rsidR="005375BC">
        <w:rPr>
          <w:sz w:val="22"/>
          <w:szCs w:val="22"/>
        </w:rPr>
        <w:t>&lt;</w:t>
      </w:r>
      <w:r w:rsidR="001641CD">
        <w:rPr>
          <w:sz w:val="22"/>
          <w:szCs w:val="22"/>
        </w:rPr>
        <w:t>36</w:t>
      </w:r>
      <w:r w:rsidR="005375BC">
        <w:rPr>
          <w:sz w:val="22"/>
          <w:szCs w:val="22"/>
        </w:rPr>
        <w:t xml:space="preserve"> years of age</w:t>
      </w:r>
      <w:r w:rsidR="002470BB">
        <w:rPr>
          <w:sz w:val="22"/>
          <w:szCs w:val="22"/>
        </w:rPr>
        <w:t xml:space="preserve"> (as a substitution for acute HCV)</w:t>
      </w:r>
      <w:r w:rsidR="0002453F">
        <w:rPr>
          <w:sz w:val="22"/>
          <w:szCs w:val="22"/>
        </w:rPr>
        <w:t xml:space="preserve">. </w:t>
      </w:r>
    </w:p>
    <w:p w14:paraId="06C5EB7B" w14:textId="3D50AD71" w:rsidR="00566482" w:rsidRDefault="0002453F" w:rsidP="000F43B3">
      <w:pPr>
        <w:rPr>
          <w:sz w:val="22"/>
          <w:szCs w:val="22"/>
        </w:rPr>
      </w:pPr>
      <w:r w:rsidRPr="00A37485">
        <w:rPr>
          <w:i/>
          <w:iCs/>
          <w:sz w:val="22"/>
          <w:szCs w:val="22"/>
        </w:rPr>
        <w:t>Covariates.</w:t>
      </w:r>
      <w:r>
        <w:rPr>
          <w:sz w:val="22"/>
          <w:szCs w:val="22"/>
        </w:rPr>
        <w:t xml:space="preserve"> </w:t>
      </w:r>
      <w:r w:rsidR="006E17EB">
        <w:rPr>
          <w:sz w:val="22"/>
          <w:szCs w:val="22"/>
        </w:rPr>
        <w:t xml:space="preserve">We compiled the following covariates and contextual measures </w:t>
      </w:r>
      <w:r w:rsidR="005E198E">
        <w:rPr>
          <w:sz w:val="22"/>
          <w:szCs w:val="22"/>
        </w:rPr>
        <w:t xml:space="preserve">based on those selected for prior jurisdiction-level opioid vulnerability assessments and </w:t>
      </w:r>
      <w:r w:rsidR="00624362">
        <w:rPr>
          <w:sz w:val="22"/>
          <w:szCs w:val="22"/>
        </w:rPr>
        <w:t>previously published reports and studies</w:t>
      </w:r>
      <w:r w:rsidR="00D9059E">
        <w:rPr>
          <w:sz w:val="22"/>
          <w:szCs w:val="22"/>
        </w:rPr>
        <w:t xml:space="preserve"> (Table 2)</w:t>
      </w:r>
      <w:r w:rsidR="005E198E">
        <w:rPr>
          <w:sz w:val="22"/>
          <w:szCs w:val="22"/>
        </w:rPr>
        <w:t>.</w:t>
      </w:r>
      <w:r w:rsidR="00FD3BFA">
        <w:rPr>
          <w:sz w:val="22"/>
          <w:szCs w:val="22"/>
        </w:rPr>
        <w:fldChar w:fldCharType="begin"/>
      </w:r>
      <w:r w:rsidR="00330574">
        <w:rPr>
          <w:sz w:val="22"/>
          <w:szCs w:val="22"/>
        </w:rPr>
        <w:instrText xml:space="preserve"> ADDIN ZOTERO_ITEM CSL_CITATION {"citationID":"GIKEfn3w","properties":{"formattedCitation":"\\super 14\\uc0\\u8211{}16\\nosupersub{}","plainCitation":"14–16","noteIndex":0},"citationItems":[{"id":79,"uris":["http://zotero.org/users/454081/items/PNTMP6HS"],"uri":["http://zotero.org/users/454081/items/PNTMP6HS"],"itemData":{"id":79,"type":"article-journal","abstract":"We examined whether more granular data improved insights into county-level HIV/hepatitis C virus (HCV) outbreak vulnerability in Tennessee relative to recent na","container-title":"Clinical Infectious Diseases","DOI":"10.1093/cid/cix1079","ISSN":"1058-4838","issue":"11","journalAbbreviation":"Clin Infect Dis","language":"en","page":"1722-1732","source":"academic.oup.com","title":"Tennessee’s In-state Vulnerability Assessment for a “Rapid Dissemination of Human Immunodeficiency Virus or Hepatitis C Virus Infection” Event Utilizing Data About the Opioid Epidemic","volume":"66","author":[{"family":"Rickles","given":"Michael"},{"family":"Rebeiro","given":"Peter F."},{"family":"Sizemore","given":"Lindsey"},{"family":"Juarez","given":"Paul"},{"family":"Mutter","given":"Mitchell"},{"family":"Wester","given":"Carolyn"},{"family":"McPheeters","given":"Melissa"}],"issued":{"date-parts":[["2018",5,17]]}}},{"id":1294,"uris":["http://zotero.org/users/454081/items/G73JBG75"],"uri":["http://zotero.org/users/454081/items/G73JBG75"],"itemData":{"id":1294,"type":"report","title":"Missouri Opioid Overdose and Bloodborne Infection Vulnerability Assessments","URL":"http://health.mo.gov/data/opioids/assessments.php","author":[{"literal":"Missouri Department of Health and Senior Services"},{"family":"Bureau of Reportable Disease Informatics","given":""}],"accessed":{"date-parts":[["2020",9,28]]},"issued":{"date-parts":[["2020"]]}}},{"id":341,"uris":["http://zotero.org/users/454081/items/UKYMHCAJ"],"uri":["http://zotero.org/users/454081/items/UKYMHCAJ"],"itemData":{"id":341,"type":"article-journal","abstract":"Objective—A recent HIV outbreak in a rural network of persons who inject drugs (PWID) underscored the intersection of the expanding epidemics of opioid abuse, injection drug use (IDU), and associated increases in hepatitis C virus (HCV) infections. We sought to identify U.S. communities especially vulnerable to rapid spread of IDU-associated HIV, if introduced, and new or continuing high rates of HCV infections.","container-title":"JAIDS Journal of Acquired Immune Deficiency Syndromes","DOI":"10.1097/QAI.0000000000001098","ISSN":"1525-4135","issue":"3","journalAbbreviation":"JAIDS Journal of Acquired Immune Deficiency Syndromes","language":"en","page":"323-331","source":"DOI.org (Crossref)","title":"County-Level Vulnerability Assessment for Rapid Dissemination of HIV or HCV Infections Among Persons Who Inject Drugs, United States:","title-short":"County-Level Vulnerability Assessment for Rapid Dissemination of HIV or HCV Infections Among Persons Who Inject Drugs, United States","volume":"73","author":[{"family":"Van Handel","given":"Michelle M."},{"family":"Rose","given":"Charles E."},{"family":"Hallisey","given":"Elaine J."},{"family":"Kolling","given":"Jessica L."},{"family":"Zibbell","given":"Jon E."},{"family":"Lewis","given":"Brian"},{"family":"Bohm","given":"Michele K."},{"family":"Jones","given":"Christopher M."},{"family":"Flanagan","given":"Barry E."},{"family":"Siddiqi","given":"Azfar-E-Alam"},{"family":"Iqbal","given":"Kashif"},{"family":"Dent","given":"Andrew L."},{"family":"Mermin","given":"Jonathan H."},{"family":"McCray","given":"Eugene"},{"family":"Ward","given":"John W."},{"family":"Brooks","given":"John T."}],"issued":{"date-parts":[["2016",11]]}}}],"schema":"https://github.com/citation-style-language/schema/raw/master/csl-citation.json"} </w:instrText>
      </w:r>
      <w:r w:rsidR="00FD3BFA">
        <w:rPr>
          <w:sz w:val="22"/>
          <w:szCs w:val="22"/>
        </w:rPr>
        <w:fldChar w:fldCharType="separate"/>
      </w:r>
      <w:r w:rsidR="00330574" w:rsidRPr="00330574">
        <w:rPr>
          <w:rFonts w:ascii="Calibri" w:hAnsi="Calibri" w:cs="Calibri"/>
          <w:sz w:val="22"/>
          <w:szCs w:val="24"/>
          <w:vertAlign w:val="superscript"/>
        </w:rPr>
        <w:t>14–16</w:t>
      </w:r>
      <w:r w:rsidR="00FD3BFA">
        <w:rPr>
          <w:sz w:val="22"/>
          <w:szCs w:val="22"/>
        </w:rPr>
        <w:fldChar w:fldCharType="end"/>
      </w:r>
      <w:r w:rsidR="005E198E">
        <w:rPr>
          <w:sz w:val="22"/>
          <w:szCs w:val="22"/>
        </w:rPr>
        <w:t xml:space="preserve"> </w:t>
      </w:r>
    </w:p>
    <w:p w14:paraId="0EB45A0D" w14:textId="4546EFB1" w:rsidR="00D9059E" w:rsidRPr="00D70C87" w:rsidRDefault="00D9059E" w:rsidP="00A37485">
      <w:pPr>
        <w:pStyle w:val="Caption"/>
        <w:keepNext/>
        <w:rPr>
          <w:sz w:val="22"/>
          <w:szCs w:val="22"/>
        </w:rPr>
      </w:pPr>
      <w:r w:rsidRPr="00A37485">
        <w:rPr>
          <w:sz w:val="22"/>
          <w:szCs w:val="22"/>
        </w:rPr>
        <w:t xml:space="preserve">Table </w:t>
      </w:r>
      <w:r w:rsidRPr="00A37485">
        <w:rPr>
          <w:sz w:val="22"/>
          <w:szCs w:val="22"/>
        </w:rPr>
        <w:fldChar w:fldCharType="begin"/>
      </w:r>
      <w:r w:rsidRPr="00A37485">
        <w:rPr>
          <w:sz w:val="22"/>
          <w:szCs w:val="22"/>
        </w:rPr>
        <w:instrText xml:space="preserve"> SEQ Table \* ARABIC </w:instrText>
      </w:r>
      <w:r w:rsidRPr="00A37485">
        <w:rPr>
          <w:sz w:val="22"/>
          <w:szCs w:val="22"/>
        </w:rPr>
        <w:fldChar w:fldCharType="separate"/>
      </w:r>
      <w:r w:rsidR="003C126C">
        <w:rPr>
          <w:noProof/>
          <w:sz w:val="22"/>
          <w:szCs w:val="22"/>
        </w:rPr>
        <w:t>2</w:t>
      </w:r>
      <w:r w:rsidRPr="00A37485">
        <w:rPr>
          <w:sz w:val="22"/>
          <w:szCs w:val="22"/>
        </w:rPr>
        <w:fldChar w:fldCharType="end"/>
      </w:r>
      <w:r w:rsidRPr="00A37485">
        <w:rPr>
          <w:sz w:val="22"/>
          <w:szCs w:val="22"/>
        </w:rPr>
        <w:t xml:space="preserve">. </w:t>
      </w:r>
      <w:r w:rsidR="00032918">
        <w:rPr>
          <w:sz w:val="22"/>
          <w:szCs w:val="22"/>
        </w:rPr>
        <w:t>Core and c</w:t>
      </w:r>
      <w:r w:rsidRPr="00A37485">
        <w:rPr>
          <w:sz w:val="22"/>
          <w:szCs w:val="22"/>
        </w:rPr>
        <w:t>ovariate measures</w:t>
      </w:r>
      <w:r w:rsidR="00032918">
        <w:rPr>
          <w:sz w:val="22"/>
          <w:szCs w:val="22"/>
        </w:rPr>
        <w:t xml:space="preserve"> for the Wyoming opioid vulnerability assessment</w:t>
      </w:r>
      <w:r>
        <w:rPr>
          <w:sz w:val="22"/>
          <w:szCs w:val="22"/>
        </w:rPr>
        <w:t>.</w:t>
      </w:r>
    </w:p>
    <w:tbl>
      <w:tblPr>
        <w:tblStyle w:val="PlainTable1"/>
        <w:tblW w:w="0" w:type="auto"/>
        <w:tblLook w:val="04A0" w:firstRow="1" w:lastRow="0" w:firstColumn="1" w:lastColumn="0" w:noHBand="0" w:noVBand="1"/>
      </w:tblPr>
      <w:tblGrid>
        <w:gridCol w:w="3415"/>
        <w:gridCol w:w="990"/>
        <w:gridCol w:w="4945"/>
      </w:tblGrid>
      <w:tr w:rsidR="00866AA5" w:rsidRPr="00866AA5" w14:paraId="568B2EE2" w14:textId="77777777" w:rsidTr="000F43B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6D8D04E" w14:textId="77777777" w:rsidR="006E17EB" w:rsidRPr="00866AA5" w:rsidRDefault="006E17EB" w:rsidP="00866AA5">
            <w:pPr>
              <w:spacing w:before="0"/>
            </w:pPr>
            <w:r w:rsidRPr="00D70C87">
              <w:t>Measure</w:t>
            </w:r>
          </w:p>
        </w:tc>
        <w:tc>
          <w:tcPr>
            <w:tcW w:w="990" w:type="dxa"/>
            <w:hideMark/>
          </w:tcPr>
          <w:p w14:paraId="16BBF83D" w14:textId="02FD4ACE" w:rsidR="006E17EB" w:rsidRPr="00866AA5" w:rsidRDefault="006E17EB" w:rsidP="00866AA5">
            <w:pPr>
              <w:spacing w:before="0"/>
              <w:cnfStyle w:val="100000000000" w:firstRow="1" w:lastRow="0" w:firstColumn="0" w:lastColumn="0" w:oddVBand="0" w:evenVBand="0" w:oddHBand="0" w:evenHBand="0" w:firstRowFirstColumn="0" w:firstRowLastColumn="0" w:lastRowFirstColumn="0" w:lastRowLastColumn="0"/>
            </w:pPr>
            <w:r w:rsidRPr="00D70C87">
              <w:t>Years</w:t>
            </w:r>
          </w:p>
        </w:tc>
        <w:tc>
          <w:tcPr>
            <w:tcW w:w="4945" w:type="dxa"/>
            <w:hideMark/>
          </w:tcPr>
          <w:p w14:paraId="442EE81B" w14:textId="06658184" w:rsidR="006E17EB" w:rsidRPr="00866AA5" w:rsidRDefault="006E17EB" w:rsidP="00866AA5">
            <w:pPr>
              <w:spacing w:before="0"/>
              <w:cnfStyle w:val="100000000000" w:firstRow="1" w:lastRow="0" w:firstColumn="0" w:lastColumn="0" w:oddVBand="0" w:evenVBand="0" w:oddHBand="0" w:evenHBand="0" w:firstRowFirstColumn="0" w:firstRowLastColumn="0" w:lastRowFirstColumn="0" w:lastRowLastColumn="0"/>
            </w:pPr>
            <w:r w:rsidRPr="00D70C87">
              <w:t>Source</w:t>
            </w:r>
          </w:p>
        </w:tc>
      </w:tr>
      <w:tr w:rsidR="00032918" w:rsidRPr="006E17EB" w14:paraId="3ECDF14A" w14:textId="77777777" w:rsidTr="002470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3FEF419E" w14:textId="1EFBCEC7" w:rsidR="00032918" w:rsidRPr="000F43B3" w:rsidRDefault="00032918" w:rsidP="00866AA5">
            <w:pPr>
              <w:spacing w:before="0"/>
              <w:rPr>
                <w:bCs w:val="0"/>
              </w:rPr>
            </w:pPr>
            <w:r>
              <w:rPr>
                <w:bCs w:val="0"/>
              </w:rPr>
              <w:t>Core</w:t>
            </w:r>
          </w:p>
        </w:tc>
        <w:tc>
          <w:tcPr>
            <w:tcW w:w="990" w:type="dxa"/>
          </w:tcPr>
          <w:p w14:paraId="58B530E6" w14:textId="77777777" w:rsidR="00032918" w:rsidRDefault="00032918" w:rsidP="00866AA5">
            <w:pPr>
              <w:spacing w:before="0"/>
              <w:cnfStyle w:val="000000100000" w:firstRow="0" w:lastRow="0" w:firstColumn="0" w:lastColumn="0" w:oddVBand="0" w:evenVBand="0" w:oddHBand="1" w:evenHBand="0" w:firstRowFirstColumn="0" w:firstRowLastColumn="0" w:lastRowFirstColumn="0" w:lastRowLastColumn="0"/>
            </w:pPr>
          </w:p>
        </w:tc>
        <w:tc>
          <w:tcPr>
            <w:tcW w:w="4945" w:type="dxa"/>
          </w:tcPr>
          <w:p w14:paraId="3A21D3FA" w14:textId="77777777" w:rsidR="00032918" w:rsidRDefault="00032918" w:rsidP="00866AA5">
            <w:pPr>
              <w:spacing w:before="0"/>
              <w:cnfStyle w:val="000000100000" w:firstRow="0" w:lastRow="0" w:firstColumn="0" w:lastColumn="0" w:oddVBand="0" w:evenVBand="0" w:oddHBand="1" w:evenHBand="0" w:firstRowFirstColumn="0" w:firstRowLastColumn="0" w:lastRowFirstColumn="0" w:lastRowLastColumn="0"/>
            </w:pPr>
          </w:p>
        </w:tc>
      </w:tr>
      <w:tr w:rsidR="00032918" w:rsidRPr="006E17EB" w14:paraId="3358FC4F" w14:textId="77777777" w:rsidTr="002470BB">
        <w:trPr>
          <w:trHeight w:val="288"/>
        </w:trPr>
        <w:tc>
          <w:tcPr>
            <w:cnfStyle w:val="001000000000" w:firstRow="0" w:lastRow="0" w:firstColumn="1" w:lastColumn="0" w:oddVBand="0" w:evenVBand="0" w:oddHBand="0" w:evenHBand="0" w:firstRowFirstColumn="0" w:firstRowLastColumn="0" w:lastRowFirstColumn="0" w:lastRowLastColumn="0"/>
            <w:tcW w:w="0" w:type="auto"/>
          </w:tcPr>
          <w:p w14:paraId="7DAE8B0E" w14:textId="15853423" w:rsidR="00032918" w:rsidRPr="00D70C87" w:rsidRDefault="00032918" w:rsidP="00866AA5">
            <w:pPr>
              <w:spacing w:before="0"/>
              <w:rPr>
                <w:b w:val="0"/>
                <w:bCs w:val="0"/>
              </w:rPr>
            </w:pPr>
            <w:r>
              <w:rPr>
                <w:b w:val="0"/>
                <w:bCs w:val="0"/>
              </w:rPr>
              <w:t>Opioid overdose death</w:t>
            </w:r>
            <w:r w:rsidR="00330574">
              <w:rPr>
                <w:b w:val="0"/>
                <w:bCs w:val="0"/>
              </w:rPr>
              <w:t xml:space="preserve"> rate (per 100,000 population)</w:t>
            </w:r>
          </w:p>
        </w:tc>
        <w:tc>
          <w:tcPr>
            <w:tcW w:w="990" w:type="dxa"/>
          </w:tcPr>
          <w:p w14:paraId="2C199CDC" w14:textId="096EF909" w:rsidR="00032918" w:rsidRDefault="00A24597" w:rsidP="00866AA5">
            <w:pPr>
              <w:spacing w:before="0"/>
              <w:cnfStyle w:val="000000000000" w:firstRow="0" w:lastRow="0" w:firstColumn="0" w:lastColumn="0" w:oddVBand="0" w:evenVBand="0" w:oddHBand="0" w:evenHBand="0" w:firstRowFirstColumn="0" w:firstRowLastColumn="0" w:lastRowFirstColumn="0" w:lastRowLastColumn="0"/>
            </w:pPr>
            <w:r>
              <w:t>2008-18</w:t>
            </w:r>
          </w:p>
        </w:tc>
        <w:tc>
          <w:tcPr>
            <w:tcW w:w="4945" w:type="dxa"/>
          </w:tcPr>
          <w:p w14:paraId="6DA378AA" w14:textId="6BBD02E6" w:rsidR="00032918" w:rsidRDefault="00BC23D4" w:rsidP="00866AA5">
            <w:pPr>
              <w:spacing w:before="0"/>
              <w:cnfStyle w:val="000000000000" w:firstRow="0" w:lastRow="0" w:firstColumn="0" w:lastColumn="0" w:oddVBand="0" w:evenVBand="0" w:oddHBand="0" w:evenHBand="0" w:firstRowFirstColumn="0" w:firstRowLastColumn="0" w:lastRowFirstColumn="0" w:lastRowLastColumn="0"/>
            </w:pPr>
            <w:r>
              <w:t>Wyoming Department of Health</w:t>
            </w:r>
          </w:p>
        </w:tc>
      </w:tr>
      <w:tr w:rsidR="00032918" w:rsidRPr="006E17EB" w14:paraId="3711310B" w14:textId="77777777" w:rsidTr="002470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77D42190" w14:textId="2225F6FE" w:rsidR="00032918" w:rsidRPr="00D70C87" w:rsidRDefault="00032918" w:rsidP="00866AA5">
            <w:pPr>
              <w:spacing w:before="0"/>
              <w:rPr>
                <w:b w:val="0"/>
                <w:bCs w:val="0"/>
              </w:rPr>
            </w:pPr>
            <w:r>
              <w:rPr>
                <w:b w:val="0"/>
                <w:bCs w:val="0"/>
              </w:rPr>
              <w:t xml:space="preserve">Drug-related </w:t>
            </w:r>
            <w:r w:rsidR="00330574">
              <w:rPr>
                <w:b w:val="0"/>
                <w:bCs w:val="0"/>
              </w:rPr>
              <w:t>arrest rate (per 100,000 population)</w:t>
            </w:r>
          </w:p>
        </w:tc>
        <w:tc>
          <w:tcPr>
            <w:tcW w:w="990" w:type="dxa"/>
          </w:tcPr>
          <w:p w14:paraId="20187A5D" w14:textId="4D5ABB8B" w:rsidR="00032918" w:rsidRDefault="00BC23D4" w:rsidP="00866AA5">
            <w:pPr>
              <w:spacing w:before="0"/>
              <w:cnfStyle w:val="000000100000" w:firstRow="0" w:lastRow="0" w:firstColumn="0" w:lastColumn="0" w:oddVBand="0" w:evenVBand="0" w:oddHBand="1" w:evenHBand="0" w:firstRowFirstColumn="0" w:firstRowLastColumn="0" w:lastRowFirstColumn="0" w:lastRowLastColumn="0"/>
            </w:pPr>
            <w:r>
              <w:t>2016-19</w:t>
            </w:r>
          </w:p>
        </w:tc>
        <w:tc>
          <w:tcPr>
            <w:tcW w:w="4945" w:type="dxa"/>
          </w:tcPr>
          <w:p w14:paraId="661B0EBC" w14:textId="6991E18C" w:rsidR="00032918" w:rsidRDefault="00BC23D4" w:rsidP="00866AA5">
            <w:pPr>
              <w:spacing w:before="0"/>
              <w:cnfStyle w:val="000000100000" w:firstRow="0" w:lastRow="0" w:firstColumn="0" w:lastColumn="0" w:oddVBand="0" w:evenVBand="0" w:oddHBand="1" w:evenHBand="0" w:firstRowFirstColumn="0" w:firstRowLastColumn="0" w:lastRowFirstColumn="0" w:lastRowLastColumn="0"/>
            </w:pPr>
            <w:r w:rsidRPr="00A83105">
              <w:rPr>
                <w:i/>
                <w:iCs/>
              </w:rPr>
              <w:t>Alcohol and Crime in Wyoming</w:t>
            </w:r>
            <w:r>
              <w:t xml:space="preserve">, </w:t>
            </w:r>
            <w:r w:rsidRPr="00BC23D4">
              <w:t>2016</w:t>
            </w:r>
            <w:r>
              <w:t>-19</w:t>
            </w:r>
            <w:r w:rsidRPr="00BC23D4">
              <w:t>. Wyoming Association of Sheriffs and Chiefs of Police</w:t>
            </w:r>
            <w:r>
              <w:t>.</w:t>
            </w:r>
          </w:p>
        </w:tc>
      </w:tr>
      <w:tr w:rsidR="00032918" w:rsidRPr="006E17EB" w14:paraId="0EC9143A" w14:textId="77777777" w:rsidTr="002470BB">
        <w:trPr>
          <w:trHeight w:val="288"/>
        </w:trPr>
        <w:tc>
          <w:tcPr>
            <w:cnfStyle w:val="001000000000" w:firstRow="0" w:lastRow="0" w:firstColumn="1" w:lastColumn="0" w:oddVBand="0" w:evenVBand="0" w:oddHBand="0" w:evenHBand="0" w:firstRowFirstColumn="0" w:firstRowLastColumn="0" w:lastRowFirstColumn="0" w:lastRowLastColumn="0"/>
            <w:tcW w:w="0" w:type="auto"/>
          </w:tcPr>
          <w:p w14:paraId="2993384E" w14:textId="694A276A" w:rsidR="00032918" w:rsidRPr="00D70C87" w:rsidRDefault="00032918" w:rsidP="00032918">
            <w:pPr>
              <w:spacing w:before="0"/>
              <w:rPr>
                <w:b w:val="0"/>
                <w:bCs w:val="0"/>
              </w:rPr>
            </w:pPr>
            <w:r>
              <w:rPr>
                <w:b w:val="0"/>
                <w:bCs w:val="0"/>
              </w:rPr>
              <w:t>Chronic hepatitis C virus</w:t>
            </w:r>
            <w:r w:rsidR="00486D94">
              <w:rPr>
                <w:b w:val="0"/>
                <w:bCs w:val="0"/>
              </w:rPr>
              <w:t xml:space="preserve"> diagnoses</w:t>
            </w:r>
            <w:r w:rsidR="00330574">
              <w:rPr>
                <w:b w:val="0"/>
                <w:bCs w:val="0"/>
              </w:rPr>
              <w:t xml:space="preserve"> under age 36 years (per 100,000 population)</w:t>
            </w:r>
          </w:p>
        </w:tc>
        <w:tc>
          <w:tcPr>
            <w:tcW w:w="990" w:type="dxa"/>
          </w:tcPr>
          <w:p w14:paraId="0FE3E2DA" w14:textId="4C6532FD" w:rsidR="00032918" w:rsidRDefault="00BC23D4" w:rsidP="00866AA5">
            <w:pPr>
              <w:spacing w:before="0"/>
              <w:cnfStyle w:val="000000000000" w:firstRow="0" w:lastRow="0" w:firstColumn="0" w:lastColumn="0" w:oddVBand="0" w:evenVBand="0" w:oddHBand="0" w:evenHBand="0" w:firstRowFirstColumn="0" w:firstRowLastColumn="0" w:lastRowFirstColumn="0" w:lastRowLastColumn="0"/>
            </w:pPr>
            <w:r>
              <w:t>2015-19</w:t>
            </w:r>
          </w:p>
        </w:tc>
        <w:tc>
          <w:tcPr>
            <w:tcW w:w="4945" w:type="dxa"/>
          </w:tcPr>
          <w:p w14:paraId="348288DB" w14:textId="5C432CB4" w:rsidR="00032918" w:rsidRDefault="00BC23D4" w:rsidP="00866AA5">
            <w:pPr>
              <w:spacing w:before="0"/>
              <w:cnfStyle w:val="000000000000" w:firstRow="0" w:lastRow="0" w:firstColumn="0" w:lastColumn="0" w:oddVBand="0" w:evenVBand="0" w:oddHBand="0" w:evenHBand="0" w:firstRowFirstColumn="0" w:firstRowLastColumn="0" w:lastRowFirstColumn="0" w:lastRowLastColumn="0"/>
            </w:pPr>
            <w:r>
              <w:t>Wyoming Department of Health</w:t>
            </w:r>
          </w:p>
        </w:tc>
      </w:tr>
      <w:tr w:rsidR="00032918" w:rsidRPr="006E17EB" w14:paraId="11F47009" w14:textId="77777777" w:rsidTr="002470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5319A04E" w14:textId="3FA08306" w:rsidR="00032918" w:rsidRPr="00D70C87" w:rsidRDefault="00032918" w:rsidP="00866AA5">
            <w:pPr>
              <w:spacing w:before="0"/>
              <w:rPr>
                <w:b w:val="0"/>
                <w:bCs w:val="0"/>
              </w:rPr>
            </w:pPr>
            <w:r>
              <w:rPr>
                <w:b w:val="0"/>
                <w:bCs w:val="0"/>
              </w:rPr>
              <w:t>Retail opioid prescription rates</w:t>
            </w:r>
            <w:r w:rsidR="00330574">
              <w:rPr>
                <w:b w:val="0"/>
                <w:bCs w:val="0"/>
              </w:rPr>
              <w:t xml:space="preserve"> (per 100 population)</w:t>
            </w:r>
          </w:p>
        </w:tc>
        <w:tc>
          <w:tcPr>
            <w:tcW w:w="990" w:type="dxa"/>
          </w:tcPr>
          <w:p w14:paraId="1927A2C2" w14:textId="45C5084E" w:rsidR="00032918" w:rsidRDefault="00BC23D4" w:rsidP="00866AA5">
            <w:pPr>
              <w:spacing w:before="0"/>
              <w:cnfStyle w:val="000000100000" w:firstRow="0" w:lastRow="0" w:firstColumn="0" w:lastColumn="0" w:oddVBand="0" w:evenVBand="0" w:oddHBand="1" w:evenHBand="0" w:firstRowFirstColumn="0" w:firstRowLastColumn="0" w:lastRowFirstColumn="0" w:lastRowLastColumn="0"/>
            </w:pPr>
            <w:r>
              <w:t>2018</w:t>
            </w:r>
          </w:p>
        </w:tc>
        <w:tc>
          <w:tcPr>
            <w:tcW w:w="4945" w:type="dxa"/>
          </w:tcPr>
          <w:p w14:paraId="209BBED3" w14:textId="67BCCC32" w:rsidR="00032918" w:rsidRDefault="00BC23D4" w:rsidP="00866AA5">
            <w:pPr>
              <w:spacing w:before="0"/>
              <w:cnfStyle w:val="000000100000" w:firstRow="0" w:lastRow="0" w:firstColumn="0" w:lastColumn="0" w:oddVBand="0" w:evenVBand="0" w:oddHBand="1" w:evenHBand="0" w:firstRowFirstColumn="0" w:firstRowLastColumn="0" w:lastRowFirstColumn="0" w:lastRowLastColumn="0"/>
            </w:pPr>
            <w:r w:rsidRPr="00BC23D4">
              <w:t>CDC, https://www.cdc.gov/drugoverdose/maps/rxrate-maps.html</w:t>
            </w:r>
          </w:p>
        </w:tc>
      </w:tr>
      <w:tr w:rsidR="00032918" w:rsidRPr="006E17EB" w14:paraId="0751E75A" w14:textId="77777777" w:rsidTr="002470BB">
        <w:trPr>
          <w:trHeight w:val="288"/>
        </w:trPr>
        <w:tc>
          <w:tcPr>
            <w:cnfStyle w:val="001000000000" w:firstRow="0" w:lastRow="0" w:firstColumn="1" w:lastColumn="0" w:oddVBand="0" w:evenVBand="0" w:oddHBand="0" w:evenHBand="0" w:firstRowFirstColumn="0" w:firstRowLastColumn="0" w:lastRowFirstColumn="0" w:lastRowLastColumn="0"/>
            <w:tcW w:w="0" w:type="auto"/>
          </w:tcPr>
          <w:p w14:paraId="697AB267" w14:textId="01DBEFD3" w:rsidR="00032918" w:rsidRPr="00D70C87" w:rsidRDefault="00BC23D4" w:rsidP="00866AA5">
            <w:pPr>
              <w:spacing w:before="0"/>
              <w:rPr>
                <w:b w:val="0"/>
                <w:bCs w:val="0"/>
              </w:rPr>
            </w:pPr>
            <w:r>
              <w:rPr>
                <w:b w:val="0"/>
                <w:bCs w:val="0"/>
              </w:rPr>
              <w:t xml:space="preserve">Per capita </w:t>
            </w:r>
            <w:r w:rsidR="00032918">
              <w:rPr>
                <w:b w:val="0"/>
                <w:bCs w:val="0"/>
              </w:rPr>
              <w:t>income</w:t>
            </w:r>
          </w:p>
        </w:tc>
        <w:tc>
          <w:tcPr>
            <w:tcW w:w="990" w:type="dxa"/>
          </w:tcPr>
          <w:p w14:paraId="231B0EE8" w14:textId="31EC7C7D" w:rsidR="00032918" w:rsidRDefault="00BC23D4" w:rsidP="00866AA5">
            <w:pPr>
              <w:spacing w:before="0"/>
              <w:cnfStyle w:val="000000000000" w:firstRow="0" w:lastRow="0" w:firstColumn="0" w:lastColumn="0" w:oddVBand="0" w:evenVBand="0" w:oddHBand="0" w:evenHBand="0" w:firstRowFirstColumn="0" w:firstRowLastColumn="0" w:lastRowFirstColumn="0" w:lastRowLastColumn="0"/>
            </w:pPr>
            <w:r>
              <w:t>2014-28</w:t>
            </w:r>
          </w:p>
        </w:tc>
        <w:tc>
          <w:tcPr>
            <w:tcW w:w="4945" w:type="dxa"/>
          </w:tcPr>
          <w:p w14:paraId="6017ACED" w14:textId="17D66D09" w:rsidR="00032918" w:rsidRDefault="00BC23D4" w:rsidP="00866AA5">
            <w:pPr>
              <w:spacing w:before="0"/>
              <w:cnfStyle w:val="000000000000" w:firstRow="0" w:lastRow="0" w:firstColumn="0" w:lastColumn="0" w:oddVBand="0" w:evenVBand="0" w:oddHBand="0" w:evenHBand="0" w:firstRowFirstColumn="0" w:firstRowLastColumn="0" w:lastRowFirstColumn="0" w:lastRowLastColumn="0"/>
            </w:pPr>
            <w:r>
              <w:t>American Community Survey (ACS) five-year estimates</w:t>
            </w:r>
          </w:p>
        </w:tc>
      </w:tr>
      <w:tr w:rsidR="00032918" w:rsidRPr="006E17EB" w14:paraId="614D62AF" w14:textId="77777777" w:rsidTr="002470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6C2526B5" w14:textId="77777777" w:rsidR="00032918" w:rsidRPr="00D70C87" w:rsidRDefault="00032918" w:rsidP="00866AA5">
            <w:pPr>
              <w:spacing w:before="0"/>
              <w:rPr>
                <w:b w:val="0"/>
                <w:bCs w:val="0"/>
              </w:rPr>
            </w:pPr>
          </w:p>
        </w:tc>
        <w:tc>
          <w:tcPr>
            <w:tcW w:w="990" w:type="dxa"/>
          </w:tcPr>
          <w:p w14:paraId="684AE4BD" w14:textId="77777777" w:rsidR="00032918" w:rsidRDefault="00032918" w:rsidP="00866AA5">
            <w:pPr>
              <w:spacing w:before="0"/>
              <w:cnfStyle w:val="000000100000" w:firstRow="0" w:lastRow="0" w:firstColumn="0" w:lastColumn="0" w:oddVBand="0" w:evenVBand="0" w:oddHBand="1" w:evenHBand="0" w:firstRowFirstColumn="0" w:firstRowLastColumn="0" w:lastRowFirstColumn="0" w:lastRowLastColumn="0"/>
            </w:pPr>
          </w:p>
        </w:tc>
        <w:tc>
          <w:tcPr>
            <w:tcW w:w="4945" w:type="dxa"/>
          </w:tcPr>
          <w:p w14:paraId="1C361196" w14:textId="77777777" w:rsidR="00032918" w:rsidRDefault="00032918" w:rsidP="00866AA5">
            <w:pPr>
              <w:spacing w:before="0"/>
              <w:cnfStyle w:val="000000100000" w:firstRow="0" w:lastRow="0" w:firstColumn="0" w:lastColumn="0" w:oddVBand="0" w:evenVBand="0" w:oddHBand="1" w:evenHBand="0" w:firstRowFirstColumn="0" w:firstRowLastColumn="0" w:lastRowFirstColumn="0" w:lastRowLastColumn="0"/>
            </w:pPr>
          </w:p>
        </w:tc>
      </w:tr>
      <w:tr w:rsidR="00032918" w:rsidRPr="006E17EB" w14:paraId="75CC023F" w14:textId="77777777" w:rsidTr="002470BB">
        <w:trPr>
          <w:trHeight w:val="288"/>
        </w:trPr>
        <w:tc>
          <w:tcPr>
            <w:cnfStyle w:val="001000000000" w:firstRow="0" w:lastRow="0" w:firstColumn="1" w:lastColumn="0" w:oddVBand="0" w:evenVBand="0" w:oddHBand="0" w:evenHBand="0" w:firstRowFirstColumn="0" w:firstRowLastColumn="0" w:lastRowFirstColumn="0" w:lastRowLastColumn="0"/>
            <w:tcW w:w="0" w:type="auto"/>
          </w:tcPr>
          <w:p w14:paraId="70CFC071" w14:textId="22B3D0AA" w:rsidR="00032918" w:rsidRPr="000F43B3" w:rsidRDefault="00032918" w:rsidP="00866AA5">
            <w:pPr>
              <w:spacing w:before="0"/>
              <w:rPr>
                <w:bCs w:val="0"/>
              </w:rPr>
            </w:pPr>
            <w:r>
              <w:rPr>
                <w:bCs w:val="0"/>
              </w:rPr>
              <w:t>Covariates</w:t>
            </w:r>
          </w:p>
        </w:tc>
        <w:tc>
          <w:tcPr>
            <w:tcW w:w="990" w:type="dxa"/>
          </w:tcPr>
          <w:p w14:paraId="6D16AC54" w14:textId="77777777" w:rsidR="00032918" w:rsidRDefault="00032918" w:rsidP="00866AA5">
            <w:pPr>
              <w:spacing w:before="0"/>
              <w:cnfStyle w:val="000000000000" w:firstRow="0" w:lastRow="0" w:firstColumn="0" w:lastColumn="0" w:oddVBand="0" w:evenVBand="0" w:oddHBand="0" w:evenHBand="0" w:firstRowFirstColumn="0" w:firstRowLastColumn="0" w:lastRowFirstColumn="0" w:lastRowLastColumn="0"/>
            </w:pPr>
          </w:p>
        </w:tc>
        <w:tc>
          <w:tcPr>
            <w:tcW w:w="4945" w:type="dxa"/>
          </w:tcPr>
          <w:p w14:paraId="19DE0755" w14:textId="77777777" w:rsidR="00032918" w:rsidRDefault="00032918" w:rsidP="00866AA5">
            <w:pPr>
              <w:spacing w:before="0"/>
              <w:cnfStyle w:val="000000000000" w:firstRow="0" w:lastRow="0" w:firstColumn="0" w:lastColumn="0" w:oddVBand="0" w:evenVBand="0" w:oddHBand="0" w:evenHBand="0" w:firstRowFirstColumn="0" w:firstRowLastColumn="0" w:lastRowFirstColumn="0" w:lastRowLastColumn="0"/>
            </w:pPr>
          </w:p>
        </w:tc>
      </w:tr>
      <w:tr w:rsidR="00866AA5" w:rsidRPr="006E17EB" w14:paraId="0ACA16DD" w14:textId="77777777" w:rsidTr="000F43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49278CE" w14:textId="2F9A98E3" w:rsidR="006E17EB" w:rsidRPr="00D70C87" w:rsidRDefault="006E17EB" w:rsidP="00866AA5">
            <w:pPr>
              <w:spacing w:before="0"/>
              <w:rPr>
                <w:b w:val="0"/>
                <w:bCs w:val="0"/>
              </w:rPr>
            </w:pPr>
            <w:r w:rsidRPr="00D70C87">
              <w:rPr>
                <w:b w:val="0"/>
                <w:bCs w:val="0"/>
              </w:rPr>
              <w:t>Percent of households that are renters</w:t>
            </w:r>
          </w:p>
        </w:tc>
        <w:tc>
          <w:tcPr>
            <w:tcW w:w="990" w:type="dxa"/>
            <w:hideMark/>
          </w:tcPr>
          <w:p w14:paraId="72315578" w14:textId="4D663FE1" w:rsidR="006E17EB" w:rsidRPr="006E17EB" w:rsidRDefault="006E17EB" w:rsidP="00866AA5">
            <w:pPr>
              <w:spacing w:before="0"/>
              <w:cnfStyle w:val="000000100000" w:firstRow="0" w:lastRow="0" w:firstColumn="0" w:lastColumn="0" w:oddVBand="0" w:evenVBand="0" w:oddHBand="1" w:evenHBand="0" w:firstRowFirstColumn="0" w:firstRowLastColumn="0" w:lastRowFirstColumn="0" w:lastRowLastColumn="0"/>
            </w:pPr>
            <w:r>
              <w:t>2014-18</w:t>
            </w:r>
          </w:p>
        </w:tc>
        <w:tc>
          <w:tcPr>
            <w:tcW w:w="4945" w:type="dxa"/>
            <w:hideMark/>
          </w:tcPr>
          <w:p w14:paraId="69A8C63E" w14:textId="769086DF" w:rsidR="006E17EB" w:rsidRPr="006E17EB" w:rsidRDefault="00D9059E" w:rsidP="00866AA5">
            <w:pPr>
              <w:spacing w:before="0"/>
              <w:cnfStyle w:val="000000100000" w:firstRow="0" w:lastRow="0" w:firstColumn="0" w:lastColumn="0" w:oddVBand="0" w:evenVBand="0" w:oddHBand="1" w:evenHBand="0" w:firstRowFirstColumn="0" w:firstRowLastColumn="0" w:lastRowFirstColumn="0" w:lastRowLastColumn="0"/>
            </w:pPr>
            <w:r>
              <w:t>American Community Survey (ACS)</w:t>
            </w:r>
            <w:r w:rsidR="00866AA5">
              <w:t xml:space="preserve"> five-year estimates</w:t>
            </w:r>
            <w:r w:rsidR="00D70C87">
              <w:fldChar w:fldCharType="begin"/>
            </w:r>
            <w:r w:rsidR="00C86F17">
              <w:instrText xml:space="preserve"> ADDIN ZOTERO_ITEM CSL_CITATION {"citationID":"WYVWas4B","properties":{"formattedCitation":"\\super 6\\nosupersub{}","plainCitation":"6","noteIndex":0},"citationItems":[{"id":68,"uris":["http://zotero.org/users/454081/items/RX9DSN2L"],"uri":["http://zotero.org/users/454081/items/RX9DSN2L"],"itemData":{"id":68,"type":"webpage","title":"American Community Survey, ACS 2014-2018 5-Year Estimates","URL":"https://www.census.gov/acs/www/data/data-tables-and-tools/data-profiles/","author":[{"family":"U.S. Census Bureau","given":""}],"issued":{"date-parts":[["2018"]]}}}],"schema":"https://github.com/citation-style-language/schema/raw/master/csl-citation.json"} </w:instrText>
            </w:r>
            <w:r w:rsidR="00D70C87">
              <w:fldChar w:fldCharType="separate"/>
            </w:r>
            <w:r w:rsidR="00C86F17" w:rsidRPr="00C86F17">
              <w:rPr>
                <w:rFonts w:ascii="Calibri" w:hAnsi="Calibri" w:cs="Calibri"/>
                <w:szCs w:val="24"/>
                <w:vertAlign w:val="superscript"/>
              </w:rPr>
              <w:t>6</w:t>
            </w:r>
            <w:r w:rsidR="00D70C87">
              <w:fldChar w:fldCharType="end"/>
            </w:r>
          </w:p>
        </w:tc>
      </w:tr>
      <w:tr w:rsidR="00866AA5" w:rsidRPr="006E17EB" w14:paraId="7C8331C3" w14:textId="77777777" w:rsidTr="000F43B3">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5DBC3B4" w14:textId="2B6F15BC" w:rsidR="006E17EB" w:rsidRPr="00D70C87" w:rsidRDefault="006E17EB" w:rsidP="00866AA5">
            <w:pPr>
              <w:spacing w:before="0"/>
              <w:rPr>
                <w:b w:val="0"/>
                <w:bCs w:val="0"/>
              </w:rPr>
            </w:pPr>
            <w:r w:rsidRPr="00D70C87">
              <w:rPr>
                <w:b w:val="0"/>
                <w:bCs w:val="0"/>
              </w:rPr>
              <w:t>Percent of married couple households</w:t>
            </w:r>
          </w:p>
        </w:tc>
        <w:tc>
          <w:tcPr>
            <w:tcW w:w="990" w:type="dxa"/>
          </w:tcPr>
          <w:p w14:paraId="5AEF7255" w14:textId="64578633" w:rsidR="006E17EB" w:rsidRPr="006E17EB" w:rsidRDefault="002470BB" w:rsidP="00866AA5">
            <w:pPr>
              <w:spacing w:before="0"/>
              <w:cnfStyle w:val="000000000000" w:firstRow="0" w:lastRow="0" w:firstColumn="0" w:lastColumn="0" w:oddVBand="0" w:evenVBand="0" w:oddHBand="0" w:evenHBand="0" w:firstRowFirstColumn="0" w:firstRowLastColumn="0" w:lastRowFirstColumn="0" w:lastRowLastColumn="0"/>
            </w:pPr>
            <w:r>
              <w:t>2014-18</w:t>
            </w:r>
          </w:p>
        </w:tc>
        <w:tc>
          <w:tcPr>
            <w:tcW w:w="4945" w:type="dxa"/>
            <w:hideMark/>
          </w:tcPr>
          <w:p w14:paraId="2F020B95" w14:textId="66AD67C3" w:rsidR="006E17EB" w:rsidRPr="006E17EB" w:rsidRDefault="002470BB" w:rsidP="00866AA5">
            <w:pPr>
              <w:spacing w:before="0"/>
              <w:cnfStyle w:val="000000000000" w:firstRow="0" w:lastRow="0" w:firstColumn="0" w:lastColumn="0" w:oddVBand="0" w:evenVBand="0" w:oddHBand="0" w:evenHBand="0" w:firstRowFirstColumn="0" w:firstRowLastColumn="0" w:lastRowFirstColumn="0" w:lastRowLastColumn="0"/>
            </w:pPr>
            <w:r>
              <w:t>American Community Survey (ACS) five-year estimates</w:t>
            </w:r>
            <w:r w:rsidDel="002470BB">
              <w:t xml:space="preserve"> </w:t>
            </w:r>
          </w:p>
        </w:tc>
      </w:tr>
      <w:tr w:rsidR="00866AA5" w:rsidRPr="006E17EB" w14:paraId="6E467890" w14:textId="77777777" w:rsidTr="000F43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018EF7D" w14:textId="78DA994E" w:rsidR="006E17EB" w:rsidRPr="00D70C87" w:rsidRDefault="006E17EB" w:rsidP="00866AA5">
            <w:pPr>
              <w:spacing w:before="0"/>
              <w:rPr>
                <w:b w:val="0"/>
                <w:bCs w:val="0"/>
              </w:rPr>
            </w:pPr>
            <w:r w:rsidRPr="00D70C87">
              <w:rPr>
                <w:b w:val="0"/>
                <w:bCs w:val="0"/>
              </w:rPr>
              <w:t>Percent of female-led households</w:t>
            </w:r>
          </w:p>
        </w:tc>
        <w:tc>
          <w:tcPr>
            <w:tcW w:w="990" w:type="dxa"/>
            <w:hideMark/>
          </w:tcPr>
          <w:p w14:paraId="67A86CBE" w14:textId="5E5F72E1" w:rsidR="006E17EB" w:rsidRPr="006E17EB" w:rsidRDefault="002470BB" w:rsidP="00866AA5">
            <w:pPr>
              <w:spacing w:before="0"/>
              <w:cnfStyle w:val="000000100000" w:firstRow="0" w:lastRow="0" w:firstColumn="0" w:lastColumn="0" w:oddVBand="0" w:evenVBand="0" w:oddHBand="1" w:evenHBand="0" w:firstRowFirstColumn="0" w:firstRowLastColumn="0" w:lastRowFirstColumn="0" w:lastRowLastColumn="0"/>
            </w:pPr>
            <w:r>
              <w:t>2014-18</w:t>
            </w:r>
          </w:p>
        </w:tc>
        <w:tc>
          <w:tcPr>
            <w:tcW w:w="4945" w:type="dxa"/>
            <w:hideMark/>
          </w:tcPr>
          <w:p w14:paraId="4360A92A" w14:textId="672A87BA" w:rsidR="006E17EB" w:rsidRPr="006E17EB" w:rsidRDefault="002470BB" w:rsidP="00866AA5">
            <w:pPr>
              <w:spacing w:before="0"/>
              <w:cnfStyle w:val="000000100000" w:firstRow="0" w:lastRow="0" w:firstColumn="0" w:lastColumn="0" w:oddVBand="0" w:evenVBand="0" w:oddHBand="1" w:evenHBand="0" w:firstRowFirstColumn="0" w:firstRowLastColumn="0" w:lastRowFirstColumn="0" w:lastRowLastColumn="0"/>
            </w:pPr>
            <w:r>
              <w:t>American Community Survey (ACS) five-year estimates</w:t>
            </w:r>
          </w:p>
        </w:tc>
      </w:tr>
      <w:tr w:rsidR="00866AA5" w:rsidRPr="006E17EB" w14:paraId="22163FC4" w14:textId="77777777" w:rsidTr="000F43B3">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08C1105" w14:textId="223BE1E5" w:rsidR="006E17EB" w:rsidRPr="00D70C87" w:rsidRDefault="006E17EB" w:rsidP="00866AA5">
            <w:pPr>
              <w:spacing w:before="0"/>
              <w:rPr>
                <w:b w:val="0"/>
                <w:bCs w:val="0"/>
              </w:rPr>
            </w:pPr>
            <w:r w:rsidRPr="00D70C87">
              <w:rPr>
                <w:b w:val="0"/>
                <w:bCs w:val="0"/>
              </w:rPr>
              <w:t>Percent of population that is uninsured</w:t>
            </w:r>
          </w:p>
        </w:tc>
        <w:tc>
          <w:tcPr>
            <w:tcW w:w="990" w:type="dxa"/>
            <w:hideMark/>
          </w:tcPr>
          <w:p w14:paraId="3875A517" w14:textId="02329401" w:rsidR="006E17EB" w:rsidRPr="006E17EB" w:rsidRDefault="002470BB" w:rsidP="00866AA5">
            <w:pPr>
              <w:spacing w:before="0"/>
              <w:cnfStyle w:val="000000000000" w:firstRow="0" w:lastRow="0" w:firstColumn="0" w:lastColumn="0" w:oddVBand="0" w:evenVBand="0" w:oddHBand="0" w:evenHBand="0" w:firstRowFirstColumn="0" w:firstRowLastColumn="0" w:lastRowFirstColumn="0" w:lastRowLastColumn="0"/>
            </w:pPr>
            <w:r>
              <w:t>2014-18</w:t>
            </w:r>
          </w:p>
        </w:tc>
        <w:tc>
          <w:tcPr>
            <w:tcW w:w="4945" w:type="dxa"/>
            <w:hideMark/>
          </w:tcPr>
          <w:p w14:paraId="144B26A5" w14:textId="65A5D6B1" w:rsidR="006E17EB" w:rsidRPr="006E17EB" w:rsidRDefault="002470BB" w:rsidP="00866AA5">
            <w:pPr>
              <w:spacing w:before="0"/>
              <w:cnfStyle w:val="000000000000" w:firstRow="0" w:lastRow="0" w:firstColumn="0" w:lastColumn="0" w:oddVBand="0" w:evenVBand="0" w:oddHBand="0" w:evenHBand="0" w:firstRowFirstColumn="0" w:firstRowLastColumn="0" w:lastRowFirstColumn="0" w:lastRowLastColumn="0"/>
            </w:pPr>
            <w:r>
              <w:t>American Community Survey (ACS) five-year estimates</w:t>
            </w:r>
          </w:p>
        </w:tc>
      </w:tr>
      <w:tr w:rsidR="00866AA5" w:rsidRPr="006E17EB" w14:paraId="11B3A99C" w14:textId="77777777" w:rsidTr="000F43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A99020B" w14:textId="721E23A9" w:rsidR="006E17EB" w:rsidRPr="00D70C87" w:rsidRDefault="006E17EB" w:rsidP="00866AA5">
            <w:pPr>
              <w:spacing w:before="0"/>
              <w:rPr>
                <w:b w:val="0"/>
                <w:bCs w:val="0"/>
              </w:rPr>
            </w:pPr>
            <w:r w:rsidRPr="00D70C87">
              <w:rPr>
                <w:b w:val="0"/>
                <w:bCs w:val="0"/>
              </w:rPr>
              <w:t>Percent of population that does not have a vehicle</w:t>
            </w:r>
          </w:p>
        </w:tc>
        <w:tc>
          <w:tcPr>
            <w:tcW w:w="990" w:type="dxa"/>
            <w:hideMark/>
          </w:tcPr>
          <w:p w14:paraId="6AF0308B" w14:textId="51C64CC6" w:rsidR="006E17EB" w:rsidRPr="006E17EB" w:rsidRDefault="002470BB" w:rsidP="00866AA5">
            <w:pPr>
              <w:spacing w:before="0"/>
              <w:cnfStyle w:val="000000100000" w:firstRow="0" w:lastRow="0" w:firstColumn="0" w:lastColumn="0" w:oddVBand="0" w:evenVBand="0" w:oddHBand="1" w:evenHBand="0" w:firstRowFirstColumn="0" w:firstRowLastColumn="0" w:lastRowFirstColumn="0" w:lastRowLastColumn="0"/>
            </w:pPr>
            <w:r>
              <w:t>2014-18</w:t>
            </w:r>
          </w:p>
        </w:tc>
        <w:tc>
          <w:tcPr>
            <w:tcW w:w="4945" w:type="dxa"/>
            <w:hideMark/>
          </w:tcPr>
          <w:p w14:paraId="1B832874" w14:textId="262A2243" w:rsidR="006E17EB" w:rsidRPr="006E17EB" w:rsidRDefault="002470BB" w:rsidP="00866AA5">
            <w:pPr>
              <w:spacing w:before="0"/>
              <w:cnfStyle w:val="000000100000" w:firstRow="0" w:lastRow="0" w:firstColumn="0" w:lastColumn="0" w:oddVBand="0" w:evenVBand="0" w:oddHBand="1" w:evenHBand="0" w:firstRowFirstColumn="0" w:firstRowLastColumn="0" w:lastRowFirstColumn="0" w:lastRowLastColumn="0"/>
            </w:pPr>
            <w:r>
              <w:t>American Community Survey (ACS) five-year estimates</w:t>
            </w:r>
          </w:p>
        </w:tc>
      </w:tr>
      <w:tr w:rsidR="00866AA5" w:rsidRPr="006E17EB" w14:paraId="4FA929BB" w14:textId="77777777" w:rsidTr="000F43B3">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47E7361" w14:textId="25814378" w:rsidR="006E17EB" w:rsidRPr="00D70C87" w:rsidRDefault="006E17EB" w:rsidP="00866AA5">
            <w:pPr>
              <w:spacing w:before="0"/>
              <w:rPr>
                <w:b w:val="0"/>
                <w:bCs w:val="0"/>
              </w:rPr>
            </w:pPr>
            <w:r w:rsidRPr="00D70C87">
              <w:rPr>
                <w:b w:val="0"/>
                <w:bCs w:val="0"/>
              </w:rPr>
              <w:t xml:space="preserve">Percent of population that is </w:t>
            </w:r>
            <w:r w:rsidR="003E55AF">
              <w:rPr>
                <w:b w:val="0"/>
                <w:bCs w:val="0"/>
              </w:rPr>
              <w:t>n</w:t>
            </w:r>
            <w:r w:rsidR="00866AA5" w:rsidRPr="00D70C87">
              <w:rPr>
                <w:b w:val="0"/>
                <w:bCs w:val="0"/>
              </w:rPr>
              <w:t>on-Hispanic W</w:t>
            </w:r>
            <w:r w:rsidRPr="00D70C87">
              <w:rPr>
                <w:b w:val="0"/>
                <w:bCs w:val="0"/>
              </w:rPr>
              <w:t>hite</w:t>
            </w:r>
          </w:p>
        </w:tc>
        <w:tc>
          <w:tcPr>
            <w:tcW w:w="990" w:type="dxa"/>
            <w:hideMark/>
          </w:tcPr>
          <w:p w14:paraId="721D226F" w14:textId="1930C858" w:rsidR="006E17EB" w:rsidRPr="006E17EB" w:rsidRDefault="002470BB" w:rsidP="00866AA5">
            <w:pPr>
              <w:spacing w:before="0"/>
              <w:cnfStyle w:val="000000000000" w:firstRow="0" w:lastRow="0" w:firstColumn="0" w:lastColumn="0" w:oddVBand="0" w:evenVBand="0" w:oddHBand="0" w:evenHBand="0" w:firstRowFirstColumn="0" w:firstRowLastColumn="0" w:lastRowFirstColumn="0" w:lastRowLastColumn="0"/>
            </w:pPr>
            <w:r>
              <w:t>2014-18</w:t>
            </w:r>
          </w:p>
        </w:tc>
        <w:tc>
          <w:tcPr>
            <w:tcW w:w="4945" w:type="dxa"/>
          </w:tcPr>
          <w:p w14:paraId="62BEE020" w14:textId="397135A3" w:rsidR="006E17EB" w:rsidRPr="006E17EB" w:rsidRDefault="002470BB" w:rsidP="00866AA5">
            <w:pPr>
              <w:spacing w:before="0"/>
              <w:cnfStyle w:val="000000000000" w:firstRow="0" w:lastRow="0" w:firstColumn="0" w:lastColumn="0" w:oddVBand="0" w:evenVBand="0" w:oddHBand="0" w:evenHBand="0" w:firstRowFirstColumn="0" w:firstRowLastColumn="0" w:lastRowFirstColumn="0" w:lastRowLastColumn="0"/>
            </w:pPr>
            <w:r>
              <w:t>American Community Survey (ACS) five-year estimates</w:t>
            </w:r>
          </w:p>
        </w:tc>
      </w:tr>
      <w:tr w:rsidR="00866AA5" w:rsidRPr="006E17EB" w14:paraId="74F251BF" w14:textId="77777777" w:rsidTr="000F43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5BD7819" w14:textId="302B3DD4" w:rsidR="006E17EB" w:rsidRPr="00D70C87" w:rsidRDefault="006E17EB" w:rsidP="00866AA5">
            <w:pPr>
              <w:spacing w:before="0"/>
              <w:rPr>
                <w:b w:val="0"/>
                <w:bCs w:val="0"/>
              </w:rPr>
            </w:pPr>
            <w:r w:rsidRPr="00D70C87">
              <w:rPr>
                <w:b w:val="0"/>
                <w:bCs w:val="0"/>
              </w:rPr>
              <w:t>Percent of population that is male</w:t>
            </w:r>
          </w:p>
        </w:tc>
        <w:tc>
          <w:tcPr>
            <w:tcW w:w="990" w:type="dxa"/>
            <w:shd w:val="clear" w:color="auto" w:fill="auto"/>
          </w:tcPr>
          <w:p w14:paraId="70B51738" w14:textId="68FC459A" w:rsidR="006E17EB" w:rsidRPr="006E17EB" w:rsidRDefault="002470BB" w:rsidP="00866AA5">
            <w:pPr>
              <w:spacing w:before="0"/>
              <w:cnfStyle w:val="000000100000" w:firstRow="0" w:lastRow="0" w:firstColumn="0" w:lastColumn="0" w:oddVBand="0" w:evenVBand="0" w:oddHBand="1" w:evenHBand="0" w:firstRowFirstColumn="0" w:firstRowLastColumn="0" w:lastRowFirstColumn="0" w:lastRowLastColumn="0"/>
            </w:pPr>
            <w:r>
              <w:t>2014-18</w:t>
            </w:r>
          </w:p>
        </w:tc>
        <w:tc>
          <w:tcPr>
            <w:tcW w:w="4945" w:type="dxa"/>
            <w:shd w:val="clear" w:color="auto" w:fill="auto"/>
          </w:tcPr>
          <w:p w14:paraId="6E48ABC3" w14:textId="4EECAC30" w:rsidR="006E17EB" w:rsidRPr="006E17EB" w:rsidRDefault="002470BB" w:rsidP="00866AA5">
            <w:pPr>
              <w:spacing w:before="0"/>
              <w:cnfStyle w:val="000000100000" w:firstRow="0" w:lastRow="0" w:firstColumn="0" w:lastColumn="0" w:oddVBand="0" w:evenVBand="0" w:oddHBand="1" w:evenHBand="0" w:firstRowFirstColumn="0" w:firstRowLastColumn="0" w:lastRowFirstColumn="0" w:lastRowLastColumn="0"/>
            </w:pPr>
            <w:r>
              <w:t>American Community Survey (ACS) five-year estimates</w:t>
            </w:r>
          </w:p>
        </w:tc>
      </w:tr>
      <w:tr w:rsidR="00866AA5" w:rsidRPr="006E17EB" w14:paraId="6F46ABC6" w14:textId="77777777" w:rsidTr="000F43B3">
        <w:trPr>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EDEDED" w:themeFill="accent3" w:themeFillTint="33"/>
            <w:hideMark/>
          </w:tcPr>
          <w:p w14:paraId="0F36FA9C" w14:textId="5BBE7A4A" w:rsidR="006E17EB" w:rsidRPr="00D70C87" w:rsidRDefault="006E17EB" w:rsidP="00866AA5">
            <w:pPr>
              <w:spacing w:before="0"/>
              <w:rPr>
                <w:b w:val="0"/>
                <w:bCs w:val="0"/>
              </w:rPr>
            </w:pPr>
            <w:r w:rsidRPr="00D70C87">
              <w:rPr>
                <w:b w:val="0"/>
                <w:bCs w:val="0"/>
              </w:rPr>
              <w:t>Gini index (measure of wealth inequality)</w:t>
            </w:r>
          </w:p>
        </w:tc>
        <w:tc>
          <w:tcPr>
            <w:tcW w:w="990" w:type="dxa"/>
            <w:shd w:val="clear" w:color="auto" w:fill="EDEDED" w:themeFill="accent3" w:themeFillTint="33"/>
          </w:tcPr>
          <w:p w14:paraId="4B38EDA4" w14:textId="7970FCC0" w:rsidR="006E17EB" w:rsidRPr="006E17EB" w:rsidRDefault="002470BB" w:rsidP="00866AA5">
            <w:pPr>
              <w:spacing w:before="0"/>
              <w:cnfStyle w:val="000000000000" w:firstRow="0" w:lastRow="0" w:firstColumn="0" w:lastColumn="0" w:oddVBand="0" w:evenVBand="0" w:oddHBand="0" w:evenHBand="0" w:firstRowFirstColumn="0" w:firstRowLastColumn="0" w:lastRowFirstColumn="0" w:lastRowLastColumn="0"/>
            </w:pPr>
            <w:r>
              <w:t>2014-18</w:t>
            </w:r>
          </w:p>
        </w:tc>
        <w:tc>
          <w:tcPr>
            <w:tcW w:w="4945" w:type="dxa"/>
            <w:shd w:val="clear" w:color="auto" w:fill="EDEDED" w:themeFill="accent3" w:themeFillTint="33"/>
          </w:tcPr>
          <w:p w14:paraId="6201848B" w14:textId="68968241" w:rsidR="006E17EB" w:rsidRPr="006E17EB" w:rsidRDefault="002470BB" w:rsidP="00866AA5">
            <w:pPr>
              <w:spacing w:before="0"/>
              <w:cnfStyle w:val="000000000000" w:firstRow="0" w:lastRow="0" w:firstColumn="0" w:lastColumn="0" w:oddVBand="0" w:evenVBand="0" w:oddHBand="0" w:evenHBand="0" w:firstRowFirstColumn="0" w:firstRowLastColumn="0" w:lastRowFirstColumn="0" w:lastRowLastColumn="0"/>
            </w:pPr>
            <w:r>
              <w:t>American Community Survey (ACS) five-year estimates</w:t>
            </w:r>
          </w:p>
        </w:tc>
      </w:tr>
      <w:tr w:rsidR="00866AA5" w:rsidRPr="006E17EB" w14:paraId="675035C6" w14:textId="77777777" w:rsidTr="000F43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FC61494" w14:textId="3519689D" w:rsidR="006E17EB" w:rsidRPr="00D70C87" w:rsidRDefault="006E17EB" w:rsidP="00866AA5">
            <w:pPr>
              <w:spacing w:before="0"/>
              <w:rPr>
                <w:b w:val="0"/>
                <w:bCs w:val="0"/>
              </w:rPr>
            </w:pPr>
            <w:r w:rsidRPr="00D70C87">
              <w:rPr>
                <w:b w:val="0"/>
                <w:bCs w:val="0"/>
              </w:rPr>
              <w:t>Percent of population without internet access</w:t>
            </w:r>
          </w:p>
        </w:tc>
        <w:tc>
          <w:tcPr>
            <w:tcW w:w="990" w:type="dxa"/>
          </w:tcPr>
          <w:p w14:paraId="3D1029E3" w14:textId="73949870" w:rsidR="006E17EB" w:rsidRPr="006E17EB" w:rsidRDefault="002470BB" w:rsidP="00866AA5">
            <w:pPr>
              <w:spacing w:before="0"/>
              <w:cnfStyle w:val="000000100000" w:firstRow="0" w:lastRow="0" w:firstColumn="0" w:lastColumn="0" w:oddVBand="0" w:evenVBand="0" w:oddHBand="1" w:evenHBand="0" w:firstRowFirstColumn="0" w:firstRowLastColumn="0" w:lastRowFirstColumn="0" w:lastRowLastColumn="0"/>
            </w:pPr>
            <w:r>
              <w:t>2014-18</w:t>
            </w:r>
          </w:p>
        </w:tc>
        <w:tc>
          <w:tcPr>
            <w:tcW w:w="4945" w:type="dxa"/>
          </w:tcPr>
          <w:p w14:paraId="3023C52E" w14:textId="710FE921" w:rsidR="006E17EB" w:rsidRPr="006E17EB" w:rsidRDefault="002470BB" w:rsidP="00866AA5">
            <w:pPr>
              <w:spacing w:before="0"/>
              <w:cnfStyle w:val="000000100000" w:firstRow="0" w:lastRow="0" w:firstColumn="0" w:lastColumn="0" w:oddVBand="0" w:evenVBand="0" w:oddHBand="1" w:evenHBand="0" w:firstRowFirstColumn="0" w:firstRowLastColumn="0" w:lastRowFirstColumn="0" w:lastRowLastColumn="0"/>
            </w:pPr>
            <w:r>
              <w:t>American Community Survey (ACS) five-year estimates</w:t>
            </w:r>
          </w:p>
        </w:tc>
      </w:tr>
      <w:tr w:rsidR="00866AA5" w:rsidRPr="006E17EB" w14:paraId="50E594E0" w14:textId="77777777" w:rsidTr="000F43B3">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B2BD263" w14:textId="5FC5D1EB" w:rsidR="006E17EB" w:rsidRPr="00D70C87" w:rsidRDefault="006E17EB" w:rsidP="00866AA5">
            <w:pPr>
              <w:spacing w:before="0"/>
              <w:rPr>
                <w:b w:val="0"/>
                <w:bCs w:val="0"/>
              </w:rPr>
            </w:pPr>
            <w:r w:rsidRPr="00D70C87">
              <w:rPr>
                <w:b w:val="0"/>
                <w:bCs w:val="0"/>
              </w:rPr>
              <w:t xml:space="preserve">Non-fatal drug poisoning hospitalization rate </w:t>
            </w:r>
            <w:r w:rsidR="00866AA5" w:rsidRPr="00D70C87">
              <w:rPr>
                <w:b w:val="0"/>
                <w:bCs w:val="0"/>
              </w:rPr>
              <w:t>(per 100,00 population)</w:t>
            </w:r>
          </w:p>
        </w:tc>
        <w:tc>
          <w:tcPr>
            <w:tcW w:w="990" w:type="dxa"/>
            <w:hideMark/>
          </w:tcPr>
          <w:p w14:paraId="2B32D132" w14:textId="2572998E" w:rsidR="006E17EB" w:rsidRPr="006E17EB" w:rsidRDefault="00263995" w:rsidP="00866AA5">
            <w:pPr>
              <w:spacing w:before="0"/>
              <w:cnfStyle w:val="000000000000" w:firstRow="0" w:lastRow="0" w:firstColumn="0" w:lastColumn="0" w:oddVBand="0" w:evenVBand="0" w:oddHBand="0" w:evenHBand="0" w:firstRowFirstColumn="0" w:firstRowLastColumn="0" w:lastRowFirstColumn="0" w:lastRowLastColumn="0"/>
            </w:pPr>
            <w:r>
              <w:t>2016-18</w:t>
            </w:r>
          </w:p>
        </w:tc>
        <w:tc>
          <w:tcPr>
            <w:tcW w:w="4945" w:type="dxa"/>
            <w:hideMark/>
          </w:tcPr>
          <w:p w14:paraId="57902B9A" w14:textId="1B869508" w:rsidR="006E17EB" w:rsidRPr="006E17EB" w:rsidRDefault="00263995" w:rsidP="00866AA5">
            <w:pPr>
              <w:spacing w:before="0"/>
              <w:cnfStyle w:val="000000000000" w:firstRow="0" w:lastRow="0" w:firstColumn="0" w:lastColumn="0" w:oddVBand="0" w:evenVBand="0" w:oddHBand="0" w:evenHBand="0" w:firstRowFirstColumn="0" w:firstRowLastColumn="0" w:lastRowFirstColumn="0" w:lastRowLastColumn="0"/>
            </w:pPr>
            <w:r>
              <w:t>W</w:t>
            </w:r>
            <w:r w:rsidR="00D9059E">
              <w:t>yoming Department of Health</w:t>
            </w:r>
          </w:p>
        </w:tc>
      </w:tr>
      <w:tr w:rsidR="00866AA5" w:rsidRPr="006E17EB" w14:paraId="28DBF9A6" w14:textId="77777777" w:rsidTr="000F43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28D3EBA" w14:textId="45D81ABD" w:rsidR="006E17EB" w:rsidRPr="00D57433" w:rsidRDefault="006E17EB" w:rsidP="00866AA5">
            <w:pPr>
              <w:spacing w:before="0"/>
              <w:rPr>
                <w:b w:val="0"/>
                <w:bCs w:val="0"/>
              </w:rPr>
            </w:pPr>
            <w:r w:rsidRPr="00D70C87">
              <w:rPr>
                <w:b w:val="0"/>
                <w:bCs w:val="0"/>
              </w:rPr>
              <w:t xml:space="preserve">Non-fatal </w:t>
            </w:r>
            <w:r w:rsidR="00263995" w:rsidRPr="00D70C87">
              <w:rPr>
                <w:b w:val="0"/>
                <w:bCs w:val="0"/>
              </w:rPr>
              <w:t>drug</w:t>
            </w:r>
            <w:r w:rsidRPr="00D70C87">
              <w:rPr>
                <w:b w:val="0"/>
                <w:bCs w:val="0"/>
              </w:rPr>
              <w:t xml:space="preserve"> poisoning ER visit</w:t>
            </w:r>
            <w:r w:rsidR="00866AA5" w:rsidRPr="00D70C87">
              <w:rPr>
                <w:b w:val="0"/>
                <w:bCs w:val="0"/>
              </w:rPr>
              <w:t xml:space="preserve"> rate (per 100,000 population)</w:t>
            </w:r>
          </w:p>
        </w:tc>
        <w:tc>
          <w:tcPr>
            <w:tcW w:w="990" w:type="dxa"/>
            <w:hideMark/>
          </w:tcPr>
          <w:p w14:paraId="4FAC27E2" w14:textId="38799DC6" w:rsidR="006E17EB" w:rsidRPr="006E17EB" w:rsidRDefault="00263995" w:rsidP="00866AA5">
            <w:pPr>
              <w:spacing w:before="0"/>
              <w:cnfStyle w:val="000000100000" w:firstRow="0" w:lastRow="0" w:firstColumn="0" w:lastColumn="0" w:oddVBand="0" w:evenVBand="0" w:oddHBand="1" w:evenHBand="0" w:firstRowFirstColumn="0" w:firstRowLastColumn="0" w:lastRowFirstColumn="0" w:lastRowLastColumn="0"/>
            </w:pPr>
            <w:r>
              <w:t>2016-18</w:t>
            </w:r>
          </w:p>
        </w:tc>
        <w:tc>
          <w:tcPr>
            <w:tcW w:w="4945" w:type="dxa"/>
            <w:hideMark/>
          </w:tcPr>
          <w:p w14:paraId="1A82D96D" w14:textId="17FCB863" w:rsidR="006E17EB" w:rsidRPr="006E17EB" w:rsidRDefault="00263995" w:rsidP="00866AA5">
            <w:pPr>
              <w:spacing w:before="0"/>
              <w:cnfStyle w:val="000000100000" w:firstRow="0" w:lastRow="0" w:firstColumn="0" w:lastColumn="0" w:oddVBand="0" w:evenVBand="0" w:oddHBand="1" w:evenHBand="0" w:firstRowFirstColumn="0" w:firstRowLastColumn="0" w:lastRowFirstColumn="0" w:lastRowLastColumn="0"/>
            </w:pPr>
            <w:r>
              <w:t>W</w:t>
            </w:r>
            <w:r w:rsidR="00D9059E">
              <w:t>yoming Department of Health</w:t>
            </w:r>
          </w:p>
        </w:tc>
      </w:tr>
      <w:tr w:rsidR="00D70C87" w:rsidRPr="006E17EB" w14:paraId="277E909E" w14:textId="77777777" w:rsidTr="000F43B3">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32070A0" w14:textId="77777777" w:rsidR="00866AA5" w:rsidRPr="00D57433" w:rsidRDefault="00866AA5" w:rsidP="00944054">
            <w:pPr>
              <w:spacing w:before="0"/>
              <w:rPr>
                <w:b w:val="0"/>
                <w:bCs w:val="0"/>
              </w:rPr>
            </w:pPr>
            <w:r w:rsidRPr="00D57433">
              <w:rPr>
                <w:b w:val="0"/>
                <w:bCs w:val="0"/>
              </w:rPr>
              <w:t>County located in a High-Intensity Drug Trafficking Area</w:t>
            </w:r>
          </w:p>
        </w:tc>
        <w:tc>
          <w:tcPr>
            <w:tcW w:w="990" w:type="dxa"/>
            <w:hideMark/>
          </w:tcPr>
          <w:p w14:paraId="1E8D816B" w14:textId="77777777" w:rsidR="00866AA5" w:rsidRPr="006E17EB" w:rsidRDefault="00866AA5" w:rsidP="00944054">
            <w:pPr>
              <w:spacing w:before="0"/>
              <w:cnfStyle w:val="000000000000" w:firstRow="0" w:lastRow="0" w:firstColumn="0" w:lastColumn="0" w:oddVBand="0" w:evenVBand="0" w:oddHBand="0" w:evenHBand="0" w:firstRowFirstColumn="0" w:firstRowLastColumn="0" w:lastRowFirstColumn="0" w:lastRowLastColumn="0"/>
            </w:pPr>
            <w:r>
              <w:t>2019</w:t>
            </w:r>
          </w:p>
        </w:tc>
        <w:tc>
          <w:tcPr>
            <w:tcW w:w="4945" w:type="dxa"/>
            <w:hideMark/>
          </w:tcPr>
          <w:p w14:paraId="35AAB0CD" w14:textId="77777777" w:rsidR="00866AA5" w:rsidRPr="006E17EB" w:rsidRDefault="00866AA5" w:rsidP="00944054">
            <w:pPr>
              <w:spacing w:before="0"/>
              <w:cnfStyle w:val="000000000000" w:firstRow="0" w:lastRow="0" w:firstColumn="0" w:lastColumn="0" w:oddVBand="0" w:evenVBand="0" w:oddHBand="0" w:evenHBand="0" w:firstRowFirstColumn="0" w:firstRowLastColumn="0" w:lastRowFirstColumn="0" w:lastRowLastColumn="0"/>
            </w:pPr>
            <w:r w:rsidRPr="00263995">
              <w:t>https://rmhidta.org/</w:t>
            </w:r>
          </w:p>
        </w:tc>
      </w:tr>
    </w:tbl>
    <w:p w14:paraId="219CEF6A" w14:textId="77777777" w:rsidR="00D70C87" w:rsidRDefault="00D70C87">
      <w:pPr>
        <w:rPr>
          <w:sz w:val="22"/>
          <w:szCs w:val="22"/>
        </w:rPr>
        <w:sectPr w:rsidR="00D70C87" w:rsidSect="00D70C8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pPr>
    </w:p>
    <w:p w14:paraId="6C0AC6B2" w14:textId="27ABE7B3" w:rsidR="00BC2A88" w:rsidRDefault="00BC2A88">
      <w:pPr>
        <w:rPr>
          <w:sz w:val="22"/>
          <w:szCs w:val="22"/>
        </w:rPr>
      </w:pPr>
      <w:r w:rsidRPr="00BC2A88">
        <w:rPr>
          <w:b/>
          <w:bCs/>
          <w:sz w:val="22"/>
          <w:szCs w:val="22"/>
        </w:rPr>
        <w:t>Dataset</w:t>
      </w:r>
      <w:r>
        <w:rPr>
          <w:sz w:val="22"/>
          <w:szCs w:val="22"/>
        </w:rPr>
        <w:t xml:space="preserve">. We incorporated the core measures and potential covariates into one </w:t>
      </w:r>
      <w:r w:rsidR="00367F0F">
        <w:rPr>
          <w:sz w:val="22"/>
          <w:szCs w:val="22"/>
        </w:rPr>
        <w:t xml:space="preserve">spreadsheet </w:t>
      </w:r>
      <w:r>
        <w:rPr>
          <w:sz w:val="22"/>
          <w:szCs w:val="22"/>
        </w:rPr>
        <w:t xml:space="preserve">for import and analysis </w:t>
      </w:r>
      <w:r w:rsidR="00032918">
        <w:rPr>
          <w:sz w:val="22"/>
          <w:szCs w:val="22"/>
        </w:rPr>
        <w:t>with</w:t>
      </w:r>
      <w:r>
        <w:rPr>
          <w:sz w:val="22"/>
          <w:szCs w:val="22"/>
        </w:rPr>
        <w:t xml:space="preserve">in a geographic information system (GIS) and </w:t>
      </w:r>
      <w:r w:rsidR="00D13B48">
        <w:rPr>
          <w:sz w:val="22"/>
          <w:szCs w:val="22"/>
        </w:rPr>
        <w:t xml:space="preserve">a </w:t>
      </w:r>
      <w:r>
        <w:rPr>
          <w:sz w:val="22"/>
          <w:szCs w:val="22"/>
        </w:rPr>
        <w:t>statistical software package. Wyoming counties were listed in the rows and outcome/covariates in the columns. We compiled all prevention and treatment asset information at the address level</w:t>
      </w:r>
      <w:r w:rsidR="002470BB">
        <w:rPr>
          <w:sz w:val="22"/>
          <w:szCs w:val="22"/>
        </w:rPr>
        <w:t xml:space="preserve"> in separate Excel spreadsheets</w:t>
      </w:r>
      <w:r>
        <w:rPr>
          <w:sz w:val="22"/>
          <w:szCs w:val="22"/>
        </w:rPr>
        <w:t>.</w:t>
      </w:r>
      <w:r w:rsidR="002F58A8">
        <w:rPr>
          <w:sz w:val="22"/>
          <w:szCs w:val="22"/>
        </w:rPr>
        <w:t xml:space="preserve"> Data for drug overdose (all drugs and opioid-related) had missing values due to suppression of data for counties with less than </w:t>
      </w:r>
      <w:r w:rsidR="00032918">
        <w:rPr>
          <w:sz w:val="22"/>
          <w:szCs w:val="22"/>
        </w:rPr>
        <w:t>five</w:t>
      </w:r>
      <w:r w:rsidR="002F58A8">
        <w:rPr>
          <w:sz w:val="22"/>
          <w:szCs w:val="22"/>
        </w:rPr>
        <w:t xml:space="preserve"> outcomes. Data for non-fatal drug poisoning (hospitalization and emergency room visits) had missing values due to suppression and hospitals that do not contribute to the Wyoming Hospital Discharge Dataset.</w:t>
      </w:r>
    </w:p>
    <w:p w14:paraId="3F08FA1E" w14:textId="611EA7B1" w:rsidR="00BC2A88" w:rsidRDefault="00BC2A88">
      <w:pPr>
        <w:rPr>
          <w:sz w:val="22"/>
          <w:szCs w:val="22"/>
        </w:rPr>
      </w:pPr>
      <w:r w:rsidRPr="000614E8">
        <w:rPr>
          <w:b/>
          <w:bCs/>
          <w:sz w:val="22"/>
          <w:szCs w:val="22"/>
        </w:rPr>
        <w:t>Joining and Geocoding.</w:t>
      </w:r>
      <w:r>
        <w:rPr>
          <w:sz w:val="22"/>
          <w:szCs w:val="22"/>
        </w:rPr>
        <w:t xml:space="preserve"> Using the </w:t>
      </w:r>
      <w:r w:rsidR="002470BB">
        <w:rPr>
          <w:sz w:val="22"/>
          <w:szCs w:val="22"/>
        </w:rPr>
        <w:t>dataset described above</w:t>
      </w:r>
      <w:r>
        <w:rPr>
          <w:sz w:val="22"/>
          <w:szCs w:val="22"/>
        </w:rPr>
        <w:t>, we joined the tabular data for core measures and covariates with a Wyoming county boundary file (i.e., shapefile). We used the ESRI World Geocoding Service to geocode address</w:t>
      </w:r>
      <w:r w:rsidR="00624362">
        <w:rPr>
          <w:sz w:val="22"/>
          <w:szCs w:val="22"/>
        </w:rPr>
        <w:t>es for</w:t>
      </w:r>
      <w:r>
        <w:rPr>
          <w:sz w:val="22"/>
          <w:szCs w:val="22"/>
        </w:rPr>
        <w:t xml:space="preserve"> prevention and treatment assets, obtaining a 100% match rate. </w:t>
      </w:r>
      <w:r w:rsidR="002470BB">
        <w:rPr>
          <w:sz w:val="22"/>
          <w:szCs w:val="22"/>
        </w:rPr>
        <w:t>We used ArcMap 10.7.1. (ESRI, Redlands, CA) for basic geoprocessing tasks (geocoding and joining tables and shapefiles).</w:t>
      </w:r>
    </w:p>
    <w:p w14:paraId="3FA5B0CC" w14:textId="7A67A8CE" w:rsidR="00BC2A88" w:rsidRDefault="00BC2A88">
      <w:pPr>
        <w:rPr>
          <w:sz w:val="22"/>
          <w:szCs w:val="22"/>
        </w:rPr>
      </w:pPr>
      <w:r w:rsidRPr="000614E8">
        <w:rPr>
          <w:b/>
          <w:bCs/>
          <w:sz w:val="22"/>
          <w:szCs w:val="22"/>
        </w:rPr>
        <w:t>Descriptive mapping.</w:t>
      </w:r>
      <w:r w:rsidR="00BA0007">
        <w:rPr>
          <w:b/>
          <w:bCs/>
          <w:sz w:val="22"/>
          <w:szCs w:val="22"/>
        </w:rPr>
        <w:t xml:space="preserve"> </w:t>
      </w:r>
      <w:r w:rsidR="00624362">
        <w:rPr>
          <w:sz w:val="22"/>
          <w:szCs w:val="22"/>
        </w:rPr>
        <w:t>W</w:t>
      </w:r>
      <w:r>
        <w:rPr>
          <w:sz w:val="22"/>
          <w:szCs w:val="22"/>
        </w:rPr>
        <w:t xml:space="preserve">e </w:t>
      </w:r>
      <w:r w:rsidR="00624362">
        <w:rPr>
          <w:sz w:val="22"/>
          <w:szCs w:val="22"/>
        </w:rPr>
        <w:t xml:space="preserve">developed </w:t>
      </w:r>
      <w:r>
        <w:rPr>
          <w:sz w:val="22"/>
          <w:szCs w:val="22"/>
        </w:rPr>
        <w:t>a series of thematic risk maps</w:t>
      </w:r>
      <w:r w:rsidR="00624362">
        <w:rPr>
          <w:sz w:val="22"/>
          <w:szCs w:val="22"/>
        </w:rPr>
        <w:t>,</w:t>
      </w:r>
      <w:r>
        <w:rPr>
          <w:sz w:val="22"/>
          <w:szCs w:val="22"/>
        </w:rPr>
        <w:t xml:space="preserve"> </w:t>
      </w:r>
      <w:r w:rsidR="00624362">
        <w:rPr>
          <w:sz w:val="22"/>
          <w:szCs w:val="22"/>
        </w:rPr>
        <w:t xml:space="preserve">within the GIS, </w:t>
      </w:r>
      <w:r>
        <w:rPr>
          <w:sz w:val="22"/>
          <w:szCs w:val="22"/>
        </w:rPr>
        <w:t>to depict the spatial distribution of all core measures and salient sociodemographic variables</w:t>
      </w:r>
      <w:r w:rsidR="00624362">
        <w:rPr>
          <w:sz w:val="22"/>
          <w:szCs w:val="22"/>
        </w:rPr>
        <w:t xml:space="preserve"> across Wyoming counties</w:t>
      </w:r>
      <w:r>
        <w:rPr>
          <w:sz w:val="22"/>
          <w:szCs w:val="22"/>
        </w:rPr>
        <w:t xml:space="preserve">. </w:t>
      </w:r>
      <w:r w:rsidR="00624362">
        <w:rPr>
          <w:sz w:val="22"/>
          <w:szCs w:val="22"/>
        </w:rPr>
        <w:t>We also developed a</w:t>
      </w:r>
      <w:r w:rsidR="000614E8">
        <w:rPr>
          <w:sz w:val="22"/>
          <w:szCs w:val="22"/>
        </w:rPr>
        <w:t xml:space="preserve"> series of descriptive maps </w:t>
      </w:r>
      <w:r w:rsidR="00367F0F">
        <w:rPr>
          <w:sz w:val="22"/>
          <w:szCs w:val="22"/>
        </w:rPr>
        <w:t xml:space="preserve">using the address points </w:t>
      </w:r>
      <w:r w:rsidR="00624362">
        <w:rPr>
          <w:sz w:val="22"/>
          <w:szCs w:val="22"/>
        </w:rPr>
        <w:t xml:space="preserve">to </w:t>
      </w:r>
      <w:r w:rsidR="000614E8">
        <w:rPr>
          <w:sz w:val="22"/>
          <w:szCs w:val="22"/>
        </w:rPr>
        <w:t xml:space="preserve">portray the spatial landscape </w:t>
      </w:r>
      <w:r w:rsidR="00624362">
        <w:rPr>
          <w:sz w:val="22"/>
          <w:szCs w:val="22"/>
        </w:rPr>
        <w:t xml:space="preserve">for Wyoming with regard to </w:t>
      </w:r>
      <w:r w:rsidR="000614E8">
        <w:rPr>
          <w:sz w:val="22"/>
          <w:szCs w:val="22"/>
        </w:rPr>
        <w:t xml:space="preserve">access to hospitals, </w:t>
      </w:r>
      <w:r w:rsidR="008C068E">
        <w:rPr>
          <w:sz w:val="22"/>
          <w:szCs w:val="22"/>
        </w:rPr>
        <w:t>substance use</w:t>
      </w:r>
      <w:r w:rsidR="00032918">
        <w:rPr>
          <w:sz w:val="22"/>
          <w:szCs w:val="22"/>
        </w:rPr>
        <w:t xml:space="preserve"> </w:t>
      </w:r>
      <w:r w:rsidR="000614E8">
        <w:rPr>
          <w:sz w:val="22"/>
          <w:szCs w:val="22"/>
        </w:rPr>
        <w:t>treatment</w:t>
      </w:r>
      <w:r w:rsidR="00624362">
        <w:rPr>
          <w:sz w:val="22"/>
          <w:szCs w:val="22"/>
        </w:rPr>
        <w:t xml:space="preserve"> centers</w:t>
      </w:r>
      <w:r w:rsidR="000614E8">
        <w:rPr>
          <w:sz w:val="22"/>
          <w:szCs w:val="22"/>
        </w:rPr>
        <w:t xml:space="preserve">, and related services. </w:t>
      </w:r>
      <w:r w:rsidR="00C20724">
        <w:rPr>
          <w:sz w:val="22"/>
          <w:szCs w:val="22"/>
        </w:rPr>
        <w:t xml:space="preserve">For measures that included missing data, we used the following methods for creating descriptive maps. Counties with suppressed counts were assigned counts of </w:t>
      </w:r>
      <w:r w:rsidR="00032918">
        <w:rPr>
          <w:sz w:val="22"/>
          <w:szCs w:val="22"/>
        </w:rPr>
        <w:t>three</w:t>
      </w:r>
      <w:r w:rsidR="00C20724">
        <w:rPr>
          <w:sz w:val="22"/>
          <w:szCs w:val="22"/>
        </w:rPr>
        <w:t xml:space="preserve"> and rates were calculated based on the county population estimate provided by WY-DOH. </w:t>
      </w:r>
      <w:r w:rsidR="00BC23D4">
        <w:rPr>
          <w:sz w:val="22"/>
          <w:szCs w:val="22"/>
        </w:rPr>
        <w:t xml:space="preserve">We used three, </w:t>
      </w:r>
      <w:r w:rsidR="00C86F17">
        <w:rPr>
          <w:sz w:val="22"/>
          <w:szCs w:val="22"/>
        </w:rPr>
        <w:t xml:space="preserve">the median of known counts </w:t>
      </w:r>
      <w:r w:rsidR="00485804">
        <w:rPr>
          <w:sz w:val="22"/>
          <w:szCs w:val="22"/>
        </w:rPr>
        <w:t>from zero to five.</w:t>
      </w:r>
      <w:r w:rsidR="00BC23D4">
        <w:rPr>
          <w:sz w:val="22"/>
          <w:szCs w:val="22"/>
        </w:rPr>
        <w:t xml:space="preserve"> </w:t>
      </w:r>
      <w:r w:rsidR="00C20724">
        <w:rPr>
          <w:sz w:val="22"/>
          <w:szCs w:val="22"/>
        </w:rPr>
        <w:t xml:space="preserve">Counties </w:t>
      </w:r>
      <w:r w:rsidR="00485804">
        <w:rPr>
          <w:sz w:val="22"/>
          <w:szCs w:val="22"/>
        </w:rPr>
        <w:t>for which hospital discharge data were not available</w:t>
      </w:r>
      <w:r w:rsidR="00C20724">
        <w:rPr>
          <w:sz w:val="22"/>
          <w:szCs w:val="22"/>
        </w:rPr>
        <w:t xml:space="preserve"> were not assigned values and mapped as “no data provided.” </w:t>
      </w:r>
    </w:p>
    <w:p w14:paraId="55004440" w14:textId="75C5B059" w:rsidR="00367F0F" w:rsidRPr="00DC7EA7" w:rsidRDefault="00367F0F" w:rsidP="00367F0F">
      <w:pPr>
        <w:rPr>
          <w:rFonts w:ascii="Calibri" w:hAnsi="Calibri" w:cs="Calibri"/>
          <w:sz w:val="22"/>
          <w:szCs w:val="22"/>
        </w:rPr>
      </w:pPr>
      <w:r>
        <w:rPr>
          <w:rFonts w:ascii="Calibri" w:hAnsi="Calibri" w:cs="Calibri"/>
          <w:b/>
          <w:bCs/>
          <w:sz w:val="22"/>
          <w:szCs w:val="22"/>
        </w:rPr>
        <w:t>Network Analysis: Drive-Time Buffers.</w:t>
      </w:r>
      <w:r>
        <w:rPr>
          <w:rFonts w:ascii="Calibri" w:hAnsi="Calibri" w:cs="Calibri"/>
          <w:sz w:val="22"/>
          <w:szCs w:val="22"/>
        </w:rPr>
        <w:t xml:space="preserve"> In addition to development of descriptive maps to depict the locations for substance use treatment providers and centers across the state, we used two spatial analytical approaches to better understand access to services. We calculated drive-times, based on street networks and speed limits across Wyoming to develop 15, 30, 45, 60, and 120</w:t>
      </w:r>
      <w:r w:rsidR="00C86F17">
        <w:rPr>
          <w:rFonts w:ascii="Calibri" w:hAnsi="Calibri" w:cs="Calibri"/>
          <w:sz w:val="22"/>
          <w:szCs w:val="22"/>
        </w:rPr>
        <w:t>-</w:t>
      </w:r>
      <w:r>
        <w:rPr>
          <w:rFonts w:ascii="Calibri" w:hAnsi="Calibri" w:cs="Calibri"/>
          <w:sz w:val="22"/>
          <w:szCs w:val="22"/>
        </w:rPr>
        <w:t>minute drive-time buffers</w:t>
      </w:r>
      <w:r w:rsidR="000C2BF6">
        <w:rPr>
          <w:rFonts w:ascii="Calibri" w:hAnsi="Calibri" w:cs="Calibri"/>
          <w:sz w:val="22"/>
          <w:szCs w:val="22"/>
        </w:rPr>
        <w:t>, using cut-points recommended by WY-DOH staff</w:t>
      </w:r>
      <w:r>
        <w:rPr>
          <w:rFonts w:ascii="Calibri" w:hAnsi="Calibri" w:cs="Calibri"/>
          <w:sz w:val="22"/>
          <w:szCs w:val="22"/>
        </w:rPr>
        <w:t>. We developed separate drive-time maps for MAT providers</w:t>
      </w:r>
      <w:r w:rsidR="001641CD">
        <w:rPr>
          <w:rFonts w:ascii="Calibri" w:hAnsi="Calibri" w:cs="Calibri"/>
          <w:sz w:val="22"/>
          <w:szCs w:val="22"/>
        </w:rPr>
        <w:t>/treatment centers</w:t>
      </w:r>
      <w:r>
        <w:rPr>
          <w:rFonts w:ascii="Calibri" w:hAnsi="Calibri" w:cs="Calibri"/>
          <w:sz w:val="22"/>
          <w:szCs w:val="22"/>
        </w:rPr>
        <w:t xml:space="preserve"> and </w:t>
      </w:r>
      <w:r w:rsidR="00A220C6">
        <w:rPr>
          <w:rFonts w:ascii="Calibri" w:hAnsi="Calibri" w:cs="Calibri"/>
          <w:sz w:val="22"/>
          <w:szCs w:val="22"/>
        </w:rPr>
        <w:t>o</w:t>
      </w:r>
      <w:r>
        <w:rPr>
          <w:rFonts w:ascii="Calibri" w:hAnsi="Calibri" w:cs="Calibri"/>
          <w:sz w:val="22"/>
          <w:szCs w:val="22"/>
        </w:rPr>
        <w:t>pioid</w:t>
      </w:r>
      <w:r w:rsidR="00AA2522">
        <w:rPr>
          <w:rFonts w:ascii="Calibri" w:hAnsi="Calibri" w:cs="Calibri"/>
          <w:sz w:val="22"/>
          <w:szCs w:val="22"/>
        </w:rPr>
        <w:t xml:space="preserve"> </w:t>
      </w:r>
      <w:r w:rsidR="00A220C6">
        <w:rPr>
          <w:rFonts w:ascii="Calibri" w:hAnsi="Calibri" w:cs="Calibri"/>
          <w:sz w:val="22"/>
          <w:szCs w:val="22"/>
        </w:rPr>
        <w:t>t</w:t>
      </w:r>
      <w:r>
        <w:rPr>
          <w:rFonts w:ascii="Calibri" w:hAnsi="Calibri" w:cs="Calibri"/>
          <w:sz w:val="22"/>
          <w:szCs w:val="22"/>
        </w:rPr>
        <w:t>reatment</w:t>
      </w:r>
      <w:r w:rsidR="00AA2522">
        <w:rPr>
          <w:rFonts w:ascii="Calibri" w:hAnsi="Calibri" w:cs="Calibri"/>
          <w:sz w:val="22"/>
          <w:szCs w:val="22"/>
        </w:rPr>
        <w:t xml:space="preserve"> </w:t>
      </w:r>
      <w:r w:rsidR="00A220C6">
        <w:rPr>
          <w:rFonts w:ascii="Calibri" w:hAnsi="Calibri" w:cs="Calibri"/>
          <w:sz w:val="22"/>
          <w:szCs w:val="22"/>
        </w:rPr>
        <w:t>p</w:t>
      </w:r>
      <w:r>
        <w:rPr>
          <w:rFonts w:ascii="Calibri" w:hAnsi="Calibri" w:cs="Calibri"/>
          <w:sz w:val="22"/>
          <w:szCs w:val="22"/>
        </w:rPr>
        <w:t>rograms (OTPs),</w:t>
      </w:r>
      <w:r w:rsidR="008C068E">
        <w:rPr>
          <w:rFonts w:ascii="Calibri" w:hAnsi="Calibri" w:cs="Calibri"/>
          <w:sz w:val="22"/>
          <w:szCs w:val="22"/>
        </w:rPr>
        <w:t xml:space="preserve"> and added a layer that outlined</w:t>
      </w:r>
      <w:r>
        <w:rPr>
          <w:rFonts w:ascii="Calibri" w:hAnsi="Calibri" w:cs="Calibri"/>
          <w:sz w:val="22"/>
          <w:szCs w:val="22"/>
        </w:rPr>
        <w:t xml:space="preserve"> the counties at highest risk for opioid-overdose mortality</w:t>
      </w:r>
      <w:r w:rsidR="001641CD">
        <w:rPr>
          <w:rFonts w:ascii="Calibri" w:hAnsi="Calibri" w:cs="Calibri"/>
          <w:sz w:val="22"/>
          <w:szCs w:val="22"/>
        </w:rPr>
        <w:t xml:space="preserve"> based on our vulnerability rankings</w:t>
      </w:r>
      <w:r>
        <w:rPr>
          <w:rFonts w:ascii="Calibri" w:hAnsi="Calibri" w:cs="Calibri"/>
          <w:sz w:val="22"/>
          <w:szCs w:val="22"/>
        </w:rPr>
        <w:t>. We calculated drive-time buffers in ArcGIS Pro 2.5 (Esri, Redlands, CA).</w:t>
      </w:r>
    </w:p>
    <w:p w14:paraId="06473F65" w14:textId="77777777" w:rsidR="00367F0F" w:rsidRDefault="00367F0F" w:rsidP="00367F0F">
      <w:pPr>
        <w:rPr>
          <w:rFonts w:ascii="Calibri" w:hAnsi="Calibri" w:cs="Calibri"/>
          <w:sz w:val="22"/>
          <w:szCs w:val="22"/>
        </w:rPr>
      </w:pPr>
      <w:r w:rsidRPr="00573120">
        <w:rPr>
          <w:rFonts w:ascii="Calibri" w:hAnsi="Calibri" w:cs="Calibri"/>
          <w:b/>
          <w:bCs/>
          <w:sz w:val="22"/>
          <w:szCs w:val="22"/>
        </w:rPr>
        <w:t>Accessibility to Treatment: 2-Step Floating Catchment Area Analysis</w:t>
      </w:r>
      <w:r>
        <w:rPr>
          <w:rFonts w:ascii="Calibri" w:hAnsi="Calibri" w:cs="Calibri"/>
          <w:b/>
          <w:bCs/>
          <w:sz w:val="22"/>
          <w:szCs w:val="22"/>
        </w:rPr>
        <w:t xml:space="preserve"> (2SFCA)</w:t>
      </w:r>
      <w:r w:rsidRPr="00573120">
        <w:rPr>
          <w:rFonts w:ascii="Calibri" w:hAnsi="Calibri" w:cs="Calibri"/>
          <w:b/>
          <w:bCs/>
          <w:sz w:val="22"/>
          <w:szCs w:val="22"/>
        </w:rPr>
        <w:t>.</w:t>
      </w:r>
      <w:r w:rsidRPr="00573120">
        <w:rPr>
          <w:rFonts w:ascii="Calibri" w:hAnsi="Calibri" w:cs="Calibri"/>
          <w:sz w:val="22"/>
          <w:szCs w:val="22"/>
        </w:rPr>
        <w:t xml:space="preserve"> We </w:t>
      </w:r>
      <w:r>
        <w:rPr>
          <w:rFonts w:ascii="Calibri" w:hAnsi="Calibri" w:cs="Calibri"/>
          <w:sz w:val="22"/>
          <w:szCs w:val="22"/>
        </w:rPr>
        <w:t xml:space="preserve">also </w:t>
      </w:r>
      <w:r w:rsidRPr="00573120">
        <w:rPr>
          <w:rFonts w:ascii="Calibri" w:hAnsi="Calibri" w:cs="Calibri"/>
          <w:sz w:val="22"/>
          <w:szCs w:val="22"/>
        </w:rPr>
        <w:t>measured access to buprenorphine treatment</w:t>
      </w:r>
      <w:r>
        <w:rPr>
          <w:rFonts w:ascii="Calibri" w:hAnsi="Calibri" w:cs="Calibri"/>
          <w:sz w:val="22"/>
          <w:szCs w:val="22"/>
        </w:rPr>
        <w:t xml:space="preserve"> services</w:t>
      </w:r>
      <w:r w:rsidRPr="00573120">
        <w:rPr>
          <w:rFonts w:ascii="Calibri" w:hAnsi="Calibri" w:cs="Calibri"/>
          <w:sz w:val="22"/>
          <w:szCs w:val="22"/>
        </w:rPr>
        <w:t xml:space="preserve"> using a 2SFCA analysis</w:t>
      </w:r>
      <w:r>
        <w:rPr>
          <w:rFonts w:ascii="Calibri" w:hAnsi="Calibri" w:cs="Calibri"/>
          <w:sz w:val="22"/>
          <w:szCs w:val="22"/>
        </w:rPr>
        <w:t xml:space="preserve">. </w:t>
      </w:r>
    </w:p>
    <w:p w14:paraId="7657A7A2" w14:textId="7C5F5A2F" w:rsidR="00367F0F" w:rsidRDefault="00367F0F" w:rsidP="00367F0F">
      <w:pPr>
        <w:rPr>
          <w:rFonts w:ascii="Calibri" w:hAnsi="Calibri" w:cs="Calibri"/>
          <w:sz w:val="22"/>
          <w:szCs w:val="22"/>
        </w:rPr>
      </w:pPr>
      <w:r w:rsidRPr="00573120">
        <w:rPr>
          <w:rFonts w:ascii="Calibri" w:hAnsi="Calibri" w:cs="Calibri"/>
          <w:sz w:val="22"/>
          <w:szCs w:val="22"/>
        </w:rPr>
        <w:t xml:space="preserve">The 2SFCA method </w:t>
      </w:r>
      <w:r>
        <w:rPr>
          <w:rFonts w:ascii="Calibri" w:hAnsi="Calibri" w:cs="Calibri"/>
          <w:sz w:val="22"/>
          <w:szCs w:val="22"/>
        </w:rPr>
        <w:t xml:space="preserve">builds on the </w:t>
      </w:r>
      <w:r w:rsidRPr="00573120">
        <w:rPr>
          <w:rFonts w:ascii="Calibri" w:hAnsi="Calibri" w:cs="Calibri"/>
          <w:sz w:val="22"/>
          <w:szCs w:val="22"/>
        </w:rPr>
        <w:t xml:space="preserve">provider-to-population ratio </w:t>
      </w:r>
      <w:r>
        <w:rPr>
          <w:rFonts w:ascii="Calibri" w:hAnsi="Calibri" w:cs="Calibri"/>
          <w:sz w:val="22"/>
          <w:szCs w:val="22"/>
        </w:rPr>
        <w:t>(</w:t>
      </w:r>
      <w:r w:rsidRPr="00573120">
        <w:rPr>
          <w:rFonts w:ascii="Calibri" w:hAnsi="Calibri" w:cs="Calibri"/>
          <w:sz w:val="22"/>
          <w:szCs w:val="22"/>
        </w:rPr>
        <w:t>number of providers</w:t>
      </w:r>
      <w:r>
        <w:rPr>
          <w:rFonts w:ascii="Calibri" w:hAnsi="Calibri" w:cs="Calibri"/>
          <w:sz w:val="22"/>
          <w:szCs w:val="22"/>
        </w:rPr>
        <w:t xml:space="preserve"> divided by population in a specified region) by removing administrative boundaries and creating an accessibility index based on drive time.</w:t>
      </w:r>
      <w:r>
        <w:rPr>
          <w:rFonts w:ascii="Calibri" w:hAnsi="Calibri" w:cs="Calibri"/>
          <w:sz w:val="22"/>
          <w:szCs w:val="22"/>
        </w:rPr>
        <w:fldChar w:fldCharType="begin"/>
      </w:r>
      <w:r w:rsidR="005E1CCC">
        <w:rPr>
          <w:rFonts w:ascii="Calibri" w:hAnsi="Calibri" w:cs="Calibri"/>
          <w:sz w:val="22"/>
          <w:szCs w:val="22"/>
        </w:rPr>
        <w:instrText xml:space="preserve"> ADDIN ZOTERO_ITEM CSL_CITATION {"citationID":"strLeUVB","properties":{"formattedCitation":"\\super 17,18\\nosupersub{}","plainCitation":"17,18","noteIndex":0},"citationItems":[{"id":1289,"uris":["http://zotero.org/users/454081/items/N8SCB685"],"uri":["http://zotero.org/users/454081/items/N8SCB685"],"itemData":{"id":1289,"type":"article-journal","abstract":"This research considers both spatial and nonspatial factors in examining accessibility to primary healthcare in Illinois. Spatial access emphasizes the importance of geographic barrier between consumer and provider, and nonspatial factors include nongeographic barriers or facilitators such as age, sex, ethnicity, income, social class, education and language ability. The population and socioeconomic data are from the 2000 Census, and the primary care physician data for the same year are provided by the American Medical Association. First, a two-step floating catchment area method implemented in Geographic Information Systems is used to measure spatial accessibility based on travel time. Secondly, the factor analysis method is used to group various sociodemographic variables into three factors: (1) socioeconomic disadvantages, (2) sociocultural barriers and (3) high healthcare needs. Finally, spatial and nonspatial factors are integrated to identify areas with poor access to primary healthcare. The research is intended to develop an integrated approach for defining Health Professional Shortage Areas (HPSA) that may help the US Department of Health and Human Services and state health departments improve HPSA designation.","collection-title":"Special section: Geographies of Intellectual Disability","container-title":"Health &amp; Place","DOI":"10.1016/j.healthplace.2004.02.003","ISSN":"1353-8292","issue":"2","journalAbbreviation":"Health &amp; Place","language":"en","page":"131-146","source":"ScienceDirect","title":"Assessing spatial and nonspatial factors for healthcare access: towards an integrated approach to defining health professional shortage areas","title-short":"Assessing spatial and nonspatial factors for healthcare access","volume":"11","author":[{"family":"Wang","given":"Fahui"},{"family":"Luo","given":"Wei"}],"issued":{"date-parts":[["2005",6,1]]}}},{"id":1292,"uris":["http://zotero.org/users/454081/items/ZLQPUN3F"],"uri":["http://zotero.org/users/454081/items/ZLQPUN3F"],"itemData":{"id":1292,"type":"article-journal","abstract":"This article synthesizes two GIS-based accessibility measures into one framework, and applies the methods to examining spatial accessibility to primary health care in the Chicago ten-county region. The floating catchment area (FCA) method defines the service area of physicians by a threshold travel time while accounting for the availability of physicians by their surrounded demands. The gravity-based method considers a nearby physician more accessible than a remote one and discounts a physician's availability by a gravity-based potential. The former is a special case of the latter. Based on the 2000 Census and primary care physician data, this research assesses the variation of spatial accessibility to primary care in the Chicago region, and analyzes the sensitivity of results by experimenting with ranges of threshold travel times in the FCA method and travel friction coefficients in the gravity model. The methods may be used to help the US Department of Health and Human Services and state health departments improve designation of Health Professional Shortage Areas.","container-title":"Environment and Planning B: Planning and Design","DOI":"10.1068/b29120","ISSN":"0265-8135","issue":"6","journalAbbreviation":"Environ Plann B Plann Des","language":"en","note":"publisher: SAGE Publications Ltd STM","page":"865-884","source":"SAGE Journals","title":"Measures of Spatial Accessibility to Health Care in a GIS Environment: Synthesis and a Case Study in the Chicago Region","title-short":"Measures of Spatial Accessibility to Health Care in a GIS Environment","volume":"30","author":[{"family":"Luo","given":"Wei"},{"family":"Wang","given":"Fahui"}],"issued":{"date-parts":[["2003",12,1]]}}}],"schema":"https://github.com/citation-style-language/schema/raw/master/csl-citation.json"} </w:instrText>
      </w:r>
      <w:r>
        <w:rPr>
          <w:rFonts w:ascii="Calibri" w:hAnsi="Calibri" w:cs="Calibri"/>
          <w:sz w:val="22"/>
          <w:szCs w:val="22"/>
        </w:rPr>
        <w:fldChar w:fldCharType="separate"/>
      </w:r>
      <w:r w:rsidR="005E1CCC" w:rsidRPr="005E1CCC">
        <w:rPr>
          <w:rFonts w:ascii="Calibri" w:hAnsi="Calibri" w:cs="Calibri"/>
          <w:sz w:val="22"/>
          <w:szCs w:val="24"/>
          <w:vertAlign w:val="superscript"/>
        </w:rPr>
        <w:t>17,18</w:t>
      </w:r>
      <w:r>
        <w:rPr>
          <w:rFonts w:ascii="Calibri" w:hAnsi="Calibri" w:cs="Calibri"/>
          <w:sz w:val="22"/>
          <w:szCs w:val="22"/>
        </w:rPr>
        <w:fldChar w:fldCharType="end"/>
      </w:r>
      <w:r w:rsidR="008C068E">
        <w:rPr>
          <w:rFonts w:ascii="Calibri" w:hAnsi="Calibri" w:cs="Calibri"/>
          <w:sz w:val="22"/>
          <w:szCs w:val="22"/>
        </w:rPr>
        <w:t xml:space="preserve"> We performed this analysis</w:t>
      </w:r>
      <w:r>
        <w:rPr>
          <w:rFonts w:ascii="Calibri" w:hAnsi="Calibri" w:cs="Calibri"/>
          <w:sz w:val="22"/>
          <w:szCs w:val="22"/>
        </w:rPr>
        <w:t xml:space="preserve"> in two steps:</w:t>
      </w:r>
    </w:p>
    <w:p w14:paraId="1BC6D68F" w14:textId="0B8E0456" w:rsidR="00367F0F" w:rsidRDefault="00367F0F" w:rsidP="00367F0F">
      <w:pPr>
        <w:pStyle w:val="ListParagraph"/>
        <w:numPr>
          <w:ilvl w:val="0"/>
          <w:numId w:val="1"/>
        </w:numPr>
        <w:rPr>
          <w:rFonts w:ascii="Calibri" w:hAnsi="Calibri" w:cs="Calibri"/>
          <w:sz w:val="22"/>
          <w:szCs w:val="22"/>
        </w:rPr>
      </w:pPr>
      <w:r>
        <w:rPr>
          <w:rFonts w:ascii="Calibri" w:hAnsi="Calibri" w:cs="Calibri"/>
          <w:sz w:val="22"/>
          <w:szCs w:val="22"/>
        </w:rPr>
        <w:t>First, we c</w:t>
      </w:r>
      <w:r w:rsidRPr="00573120">
        <w:rPr>
          <w:rFonts w:ascii="Calibri" w:hAnsi="Calibri" w:cs="Calibri"/>
          <w:sz w:val="22"/>
          <w:szCs w:val="22"/>
        </w:rPr>
        <w:t>alculat</w:t>
      </w:r>
      <w:r>
        <w:rPr>
          <w:rFonts w:ascii="Calibri" w:hAnsi="Calibri" w:cs="Calibri"/>
          <w:sz w:val="22"/>
          <w:szCs w:val="22"/>
        </w:rPr>
        <w:t>ed</w:t>
      </w:r>
      <w:r w:rsidRPr="00573120">
        <w:rPr>
          <w:rFonts w:ascii="Calibri" w:hAnsi="Calibri" w:cs="Calibri"/>
          <w:sz w:val="22"/>
          <w:szCs w:val="22"/>
        </w:rPr>
        <w:t xml:space="preserve"> the provider-to-population ratio for all populations </w:t>
      </w:r>
      <w:r>
        <w:rPr>
          <w:rFonts w:ascii="Calibri" w:hAnsi="Calibri" w:cs="Calibri"/>
          <w:sz w:val="22"/>
          <w:szCs w:val="22"/>
        </w:rPr>
        <w:t xml:space="preserve">that were </w:t>
      </w:r>
      <w:r w:rsidR="000C2BF6">
        <w:rPr>
          <w:rFonts w:ascii="Calibri" w:hAnsi="Calibri" w:cs="Calibri"/>
          <w:sz w:val="22"/>
          <w:szCs w:val="22"/>
        </w:rPr>
        <w:t>within a 45-minute</w:t>
      </w:r>
      <w:r w:rsidRPr="00573120">
        <w:rPr>
          <w:rFonts w:ascii="Calibri" w:hAnsi="Calibri" w:cs="Calibri"/>
          <w:sz w:val="22"/>
          <w:szCs w:val="22"/>
        </w:rPr>
        <w:t xml:space="preserve"> drive-time threshold distance from the provider location.</w:t>
      </w:r>
    </w:p>
    <w:p w14:paraId="3621E439" w14:textId="19D046E4" w:rsidR="00367F0F" w:rsidRDefault="00367F0F" w:rsidP="00367F0F">
      <w:pPr>
        <w:pStyle w:val="ListParagraph"/>
        <w:numPr>
          <w:ilvl w:val="0"/>
          <w:numId w:val="1"/>
        </w:numPr>
        <w:rPr>
          <w:rFonts w:ascii="Calibri" w:hAnsi="Calibri" w:cs="Calibri"/>
          <w:sz w:val="22"/>
          <w:szCs w:val="22"/>
        </w:rPr>
      </w:pPr>
      <w:bookmarkStart w:id="4" w:name="_Hlk54256608"/>
      <w:r>
        <w:rPr>
          <w:rFonts w:ascii="Calibri" w:hAnsi="Calibri" w:cs="Calibri"/>
          <w:sz w:val="22"/>
          <w:szCs w:val="22"/>
        </w:rPr>
        <w:t>Second, we added</w:t>
      </w:r>
      <w:r w:rsidRPr="00573120">
        <w:rPr>
          <w:rFonts w:ascii="Calibri" w:hAnsi="Calibri" w:cs="Calibri"/>
          <w:sz w:val="22"/>
          <w:szCs w:val="22"/>
        </w:rPr>
        <w:t xml:space="preserve"> the provider-to-population ratios of all the providers </w:t>
      </w:r>
      <w:r>
        <w:rPr>
          <w:rFonts w:ascii="Calibri" w:hAnsi="Calibri" w:cs="Calibri"/>
          <w:sz w:val="22"/>
          <w:szCs w:val="22"/>
        </w:rPr>
        <w:t xml:space="preserve">that were within a </w:t>
      </w:r>
      <w:r w:rsidR="00285824">
        <w:rPr>
          <w:rFonts w:ascii="Calibri" w:hAnsi="Calibri" w:cs="Calibri"/>
          <w:sz w:val="22"/>
          <w:szCs w:val="22"/>
        </w:rPr>
        <w:t>45-minute drive time</w:t>
      </w:r>
      <w:r w:rsidR="008C068E">
        <w:rPr>
          <w:rFonts w:ascii="Calibri" w:hAnsi="Calibri" w:cs="Calibri"/>
          <w:sz w:val="22"/>
          <w:szCs w:val="22"/>
        </w:rPr>
        <w:t xml:space="preserve"> of each</w:t>
      </w:r>
      <w:r>
        <w:rPr>
          <w:rFonts w:ascii="Calibri" w:hAnsi="Calibri" w:cs="Calibri"/>
          <w:sz w:val="22"/>
          <w:szCs w:val="22"/>
        </w:rPr>
        <w:t xml:space="preserve"> census tract</w:t>
      </w:r>
      <w:r w:rsidRPr="00573120">
        <w:rPr>
          <w:rFonts w:ascii="Calibri" w:hAnsi="Calibri" w:cs="Calibri"/>
          <w:sz w:val="22"/>
          <w:szCs w:val="22"/>
        </w:rPr>
        <w:t xml:space="preserve"> population centroid. </w:t>
      </w:r>
    </w:p>
    <w:bookmarkEnd w:id="4"/>
    <w:p w14:paraId="4D3D21FE" w14:textId="340388A4" w:rsidR="00367F0F" w:rsidRPr="00573120" w:rsidRDefault="00367F0F" w:rsidP="00367F0F">
      <w:pPr>
        <w:rPr>
          <w:rFonts w:ascii="Calibri" w:hAnsi="Calibri" w:cs="Calibri"/>
          <w:sz w:val="22"/>
          <w:szCs w:val="22"/>
        </w:rPr>
      </w:pPr>
      <w:r w:rsidRPr="00573120">
        <w:rPr>
          <w:rFonts w:ascii="Calibri" w:hAnsi="Calibri" w:cs="Calibri"/>
          <w:sz w:val="22"/>
          <w:szCs w:val="22"/>
        </w:rPr>
        <w:t xml:space="preserve">The model </w:t>
      </w:r>
      <w:r>
        <w:rPr>
          <w:rFonts w:ascii="Calibri" w:hAnsi="Calibri" w:cs="Calibri"/>
          <w:sz w:val="22"/>
          <w:szCs w:val="22"/>
        </w:rPr>
        <w:t xml:space="preserve">we employed </w:t>
      </w:r>
      <w:r w:rsidR="00A220C6" w:rsidRPr="00A83105">
        <w:rPr>
          <w:rFonts w:ascii="Calibri" w:hAnsi="Calibri" w:cs="Calibri"/>
          <w:sz w:val="22"/>
          <w:szCs w:val="22"/>
        </w:rPr>
        <w:t>wa</w:t>
      </w:r>
      <w:r w:rsidRPr="00A83105">
        <w:rPr>
          <w:rFonts w:ascii="Calibri" w:hAnsi="Calibri" w:cs="Calibri"/>
          <w:sz w:val="22"/>
          <w:szCs w:val="22"/>
        </w:rPr>
        <w:t>s</w:t>
      </w:r>
      <w:r>
        <w:rPr>
          <w:rFonts w:ascii="Calibri" w:hAnsi="Calibri" w:cs="Calibri"/>
          <w:sz w:val="22"/>
          <w:szCs w:val="22"/>
        </w:rPr>
        <w:t xml:space="preserve"> expressed</w:t>
      </w:r>
      <w:r w:rsidRPr="00573120">
        <w:rPr>
          <w:rFonts w:ascii="Calibri" w:hAnsi="Calibri" w:cs="Calibri"/>
          <w:sz w:val="22"/>
          <w:szCs w:val="22"/>
        </w:rPr>
        <w:t xml:space="preserve"> as</w:t>
      </w:r>
      <w:r>
        <w:rPr>
          <w:rFonts w:ascii="Calibri" w:hAnsi="Calibri" w:cs="Calibri"/>
          <w:sz w:val="22"/>
          <w:szCs w:val="22"/>
        </w:rPr>
        <w:t xml:space="preserve"> follows</w:t>
      </w:r>
      <w:r w:rsidRPr="00573120">
        <w:rPr>
          <w:rFonts w:ascii="Calibri" w:hAnsi="Calibri" w:cs="Calibri"/>
          <w:sz w:val="22"/>
          <w:szCs w:val="22"/>
        </w:rPr>
        <w:t>:</w:t>
      </w:r>
    </w:p>
    <w:p w14:paraId="3D4DEB75" w14:textId="77777777" w:rsidR="00367F0F" w:rsidRPr="00573120" w:rsidRDefault="005F757D" w:rsidP="00367F0F">
      <w:pPr>
        <w:spacing w:line="240" w:lineRule="auto"/>
        <w:ind w:firstLine="720"/>
        <w:jc w:val="both"/>
        <w:rPr>
          <w:rFonts w:ascii="Calibri" w:hAnsi="Calibri" w:cs="Calibri"/>
          <w:sz w:val="22"/>
          <w:szCs w:val="22"/>
        </w:rPr>
      </w:pPr>
      <m:oMath>
        <m:sSub>
          <m:sSubPr>
            <m:ctrlPr>
              <w:rPr>
                <w:rFonts w:ascii="Cambria Math" w:hAnsi="Cambria Math" w:cs="Calibri"/>
                <w:i/>
                <w:sz w:val="28"/>
                <w:szCs w:val="28"/>
              </w:rPr>
            </m:ctrlPr>
          </m:sSubPr>
          <m:e>
            <m:r>
              <w:rPr>
                <w:rFonts w:ascii="Cambria Math" w:hAnsi="Cambria Math" w:cs="Calibri"/>
                <w:sz w:val="28"/>
                <w:szCs w:val="28"/>
              </w:rPr>
              <m:t>A</m:t>
            </m:r>
          </m:e>
          <m:sub>
            <m:r>
              <w:rPr>
                <w:rFonts w:ascii="Cambria Math" w:hAnsi="Cambria Math" w:cs="Calibri"/>
                <w:sz w:val="28"/>
                <w:szCs w:val="28"/>
              </w:rPr>
              <m:t>i</m:t>
            </m:r>
          </m:sub>
        </m:sSub>
        <m:r>
          <w:rPr>
            <w:rFonts w:ascii="Cambria Math" w:hAnsi="Cambria Math" w:cs="Calibri"/>
            <w:sz w:val="28"/>
            <w:szCs w:val="28"/>
          </w:rPr>
          <m:t xml:space="preserve">= </m:t>
        </m:r>
        <m:nary>
          <m:naryPr>
            <m:chr m:val="∑"/>
            <m:limLoc m:val="undOvr"/>
            <m:ctrlPr>
              <w:rPr>
                <w:rFonts w:ascii="Cambria Math" w:hAnsi="Cambria Math" w:cs="Calibri"/>
                <w:i/>
                <w:sz w:val="28"/>
                <w:szCs w:val="28"/>
              </w:rPr>
            </m:ctrlPr>
          </m:naryPr>
          <m:sub>
            <m:r>
              <w:rPr>
                <w:rFonts w:ascii="Cambria Math" w:hAnsi="Cambria Math" w:cs="Calibri"/>
                <w:sz w:val="28"/>
                <w:szCs w:val="28"/>
              </w:rPr>
              <m:t>j</m:t>
            </m:r>
            <m:r>
              <w:rPr>
                <w:rFonts w:ascii="Cambria Math" w:hAnsi="Cambria Math" w:cs="Calibri"/>
                <w:sz w:val="28"/>
                <w:szCs w:val="28"/>
              </w:rPr>
              <m:t xml:space="preserve">=1, </m:t>
            </m:r>
            <m:r>
              <w:rPr>
                <w:rFonts w:ascii="Cambria Math" w:hAnsi="Cambria Math" w:cs="Calibri"/>
                <w:sz w:val="28"/>
                <w:szCs w:val="28"/>
              </w:rPr>
              <m:t>d</m:t>
            </m:r>
            <m:r>
              <w:rPr>
                <w:rFonts w:ascii="Cambria Math" w:hAnsi="Cambria Math" w:cs="Calibri"/>
                <w:sz w:val="28"/>
                <w:szCs w:val="28"/>
              </w:rPr>
              <m:t>&lt;</m:t>
            </m:r>
            <m:r>
              <w:rPr>
                <w:rFonts w:ascii="Cambria Math" w:hAnsi="Cambria Math" w:cs="Calibri"/>
                <w:sz w:val="28"/>
                <w:szCs w:val="28"/>
              </w:rPr>
              <m:t>D</m:t>
            </m:r>
          </m:sub>
          <m:sup>
            <m:r>
              <w:rPr>
                <w:rFonts w:ascii="Cambria Math" w:hAnsi="Cambria Math" w:cs="Calibri"/>
                <w:sz w:val="28"/>
                <w:szCs w:val="28"/>
              </w:rPr>
              <m:t>n</m:t>
            </m:r>
          </m:sup>
          <m:e>
            <m:f>
              <m:fPr>
                <m:ctrlPr>
                  <w:rPr>
                    <w:rFonts w:ascii="Cambria Math" w:hAnsi="Cambria Math" w:cs="Calibri"/>
                    <w:i/>
                    <w:sz w:val="28"/>
                    <w:szCs w:val="28"/>
                  </w:rPr>
                </m:ctrlPr>
              </m:fPr>
              <m:num>
                <m:sSub>
                  <m:sSubPr>
                    <m:ctrlPr>
                      <w:rPr>
                        <w:rFonts w:ascii="Cambria Math" w:hAnsi="Cambria Math" w:cs="Calibri"/>
                        <w:i/>
                        <w:sz w:val="28"/>
                        <w:szCs w:val="28"/>
                      </w:rPr>
                    </m:ctrlPr>
                  </m:sSubPr>
                  <m:e>
                    <m:r>
                      <w:rPr>
                        <w:rFonts w:ascii="Cambria Math" w:hAnsi="Cambria Math" w:cs="Calibri"/>
                        <w:sz w:val="28"/>
                        <w:szCs w:val="28"/>
                      </w:rPr>
                      <m:t>S</m:t>
                    </m:r>
                  </m:e>
                  <m:sub>
                    <m:r>
                      <w:rPr>
                        <w:rFonts w:ascii="Cambria Math" w:hAnsi="Cambria Math" w:cs="Calibri"/>
                        <w:sz w:val="28"/>
                        <w:szCs w:val="28"/>
                      </w:rPr>
                      <m:t>j</m:t>
                    </m:r>
                  </m:sub>
                </m:sSub>
              </m:num>
              <m:den>
                <m:nary>
                  <m:naryPr>
                    <m:chr m:val="∑"/>
                    <m:limLoc m:val="undOvr"/>
                    <m:ctrlPr>
                      <w:rPr>
                        <w:rFonts w:ascii="Cambria Math" w:hAnsi="Cambria Math" w:cs="Calibri"/>
                        <w:i/>
                        <w:sz w:val="28"/>
                        <w:szCs w:val="28"/>
                      </w:rPr>
                    </m:ctrlPr>
                  </m:naryPr>
                  <m:sub>
                    <m:r>
                      <w:rPr>
                        <w:rFonts w:ascii="Cambria Math" w:hAnsi="Cambria Math" w:cs="Calibri"/>
                        <w:sz w:val="28"/>
                        <w:szCs w:val="28"/>
                      </w:rPr>
                      <m:t>k</m:t>
                    </m:r>
                    <m:r>
                      <w:rPr>
                        <w:rFonts w:ascii="Cambria Math" w:hAnsi="Cambria Math" w:cs="Calibri"/>
                        <w:sz w:val="28"/>
                        <w:szCs w:val="28"/>
                      </w:rPr>
                      <m:t xml:space="preserve">=1, </m:t>
                    </m:r>
                    <m:r>
                      <w:rPr>
                        <w:rFonts w:ascii="Cambria Math" w:hAnsi="Cambria Math" w:cs="Calibri"/>
                        <w:sz w:val="28"/>
                        <w:szCs w:val="28"/>
                      </w:rPr>
                      <m:t>d</m:t>
                    </m:r>
                    <m:r>
                      <w:rPr>
                        <w:rFonts w:ascii="Cambria Math" w:hAnsi="Cambria Math" w:cs="Calibri"/>
                        <w:sz w:val="28"/>
                        <w:szCs w:val="28"/>
                      </w:rPr>
                      <m:t>&lt;</m:t>
                    </m:r>
                    <m:r>
                      <w:rPr>
                        <w:rFonts w:ascii="Cambria Math" w:hAnsi="Cambria Math" w:cs="Calibri"/>
                        <w:sz w:val="28"/>
                        <w:szCs w:val="28"/>
                      </w:rPr>
                      <m:t>D</m:t>
                    </m:r>
                  </m:sub>
                  <m:sup>
                    <m:r>
                      <w:rPr>
                        <w:rFonts w:ascii="Cambria Math" w:hAnsi="Cambria Math" w:cs="Calibri"/>
                        <w:sz w:val="28"/>
                        <w:szCs w:val="28"/>
                      </w:rPr>
                      <m:t>m</m:t>
                    </m:r>
                  </m:sup>
                  <m:e>
                    <m:sSub>
                      <m:sSubPr>
                        <m:ctrlPr>
                          <w:rPr>
                            <w:rFonts w:ascii="Cambria Math" w:hAnsi="Cambria Math" w:cs="Calibri"/>
                            <w:i/>
                            <w:sz w:val="28"/>
                            <w:szCs w:val="28"/>
                          </w:rPr>
                        </m:ctrlPr>
                      </m:sSubPr>
                      <m:e>
                        <m:r>
                          <w:rPr>
                            <w:rFonts w:ascii="Cambria Math" w:hAnsi="Cambria Math" w:cs="Calibri"/>
                            <w:sz w:val="28"/>
                            <w:szCs w:val="28"/>
                          </w:rPr>
                          <m:t>P</m:t>
                        </m:r>
                      </m:e>
                      <m:sub>
                        <m:r>
                          <w:rPr>
                            <w:rFonts w:ascii="Cambria Math" w:hAnsi="Cambria Math" w:cs="Calibri"/>
                            <w:sz w:val="28"/>
                            <w:szCs w:val="28"/>
                          </w:rPr>
                          <m:t>k</m:t>
                        </m:r>
                      </m:sub>
                    </m:sSub>
                  </m:e>
                </m:nary>
              </m:den>
            </m:f>
          </m:e>
        </m:nary>
      </m:oMath>
      <w:r w:rsidR="00367F0F" w:rsidRPr="00573120">
        <w:rPr>
          <w:rFonts w:ascii="Calibri" w:hAnsi="Calibri" w:cs="Calibri"/>
          <w:sz w:val="22"/>
          <w:szCs w:val="22"/>
        </w:rPr>
        <w:t xml:space="preserve"> </w:t>
      </w:r>
    </w:p>
    <w:p w14:paraId="714ECDB4" w14:textId="270C7553" w:rsidR="00367F0F" w:rsidRPr="000F43B3" w:rsidRDefault="00367F0F" w:rsidP="000F43B3">
      <w:pPr>
        <w:rPr>
          <w:sz w:val="22"/>
          <w:szCs w:val="22"/>
        </w:rPr>
      </w:pPr>
      <w:r w:rsidRPr="000F43B3">
        <w:rPr>
          <w:sz w:val="22"/>
          <w:szCs w:val="22"/>
        </w:rPr>
        <w:t xml:space="preserve">Where, </w:t>
      </w:r>
      <w:r w:rsidRPr="000F43B3">
        <w:rPr>
          <w:i/>
          <w:iCs/>
          <w:sz w:val="22"/>
          <w:szCs w:val="22"/>
        </w:rPr>
        <w:t>S</w:t>
      </w:r>
      <w:r w:rsidRPr="000F43B3">
        <w:rPr>
          <w:i/>
          <w:iCs/>
          <w:sz w:val="22"/>
          <w:szCs w:val="22"/>
          <w:vertAlign w:val="subscript"/>
        </w:rPr>
        <w:t>j</w:t>
      </w:r>
      <w:r w:rsidRPr="000F43B3">
        <w:rPr>
          <w:i/>
          <w:iCs/>
          <w:sz w:val="22"/>
          <w:szCs w:val="22"/>
        </w:rPr>
        <w:t xml:space="preserve"> </w:t>
      </w:r>
      <w:r w:rsidRPr="00A83105">
        <w:rPr>
          <w:sz w:val="22"/>
          <w:szCs w:val="22"/>
        </w:rPr>
        <w:t>was</w:t>
      </w:r>
      <w:r w:rsidRPr="000F43B3">
        <w:rPr>
          <w:sz w:val="22"/>
          <w:szCs w:val="22"/>
        </w:rPr>
        <w:t xml:space="preserve"> the number of providers at location </w:t>
      </w:r>
      <w:r w:rsidRPr="000F43B3">
        <w:rPr>
          <w:i/>
          <w:iCs/>
          <w:sz w:val="22"/>
          <w:szCs w:val="22"/>
        </w:rPr>
        <w:t>j</w:t>
      </w:r>
      <w:r w:rsidRPr="000F43B3">
        <w:rPr>
          <w:sz w:val="22"/>
          <w:szCs w:val="22"/>
        </w:rPr>
        <w:t xml:space="preserve">; </w:t>
      </w:r>
      <w:r w:rsidRPr="000F43B3">
        <w:rPr>
          <w:i/>
          <w:iCs/>
          <w:sz w:val="22"/>
          <w:szCs w:val="22"/>
        </w:rPr>
        <w:t>d</w:t>
      </w:r>
      <w:r w:rsidRPr="000F43B3">
        <w:rPr>
          <w:sz w:val="22"/>
          <w:szCs w:val="22"/>
        </w:rPr>
        <w:t xml:space="preserve"> </w:t>
      </w:r>
      <w:r w:rsidRPr="00A83105">
        <w:rPr>
          <w:sz w:val="22"/>
          <w:szCs w:val="22"/>
        </w:rPr>
        <w:t>was</w:t>
      </w:r>
      <w:r w:rsidRPr="000F43B3">
        <w:rPr>
          <w:sz w:val="22"/>
          <w:szCs w:val="22"/>
        </w:rPr>
        <w:t xml:space="preserve"> the drive-time between the provider and the population centroid; </w:t>
      </w:r>
      <w:r w:rsidRPr="000F43B3">
        <w:rPr>
          <w:i/>
          <w:iCs/>
          <w:sz w:val="22"/>
          <w:szCs w:val="22"/>
        </w:rPr>
        <w:t>P</w:t>
      </w:r>
      <w:r w:rsidRPr="000F43B3">
        <w:rPr>
          <w:i/>
          <w:iCs/>
          <w:sz w:val="22"/>
          <w:szCs w:val="22"/>
          <w:vertAlign w:val="subscript"/>
        </w:rPr>
        <w:t>k</w:t>
      </w:r>
      <w:r w:rsidRPr="000F43B3">
        <w:rPr>
          <w:sz w:val="22"/>
          <w:szCs w:val="22"/>
        </w:rPr>
        <w:t xml:space="preserve"> was the population of location </w:t>
      </w:r>
      <w:r w:rsidRPr="000F43B3">
        <w:rPr>
          <w:i/>
          <w:iCs/>
          <w:sz w:val="22"/>
          <w:szCs w:val="22"/>
        </w:rPr>
        <w:t>k</w:t>
      </w:r>
      <w:r w:rsidRPr="000F43B3">
        <w:rPr>
          <w:sz w:val="22"/>
          <w:szCs w:val="22"/>
        </w:rPr>
        <w:t xml:space="preserve">, where the centroid of the census tract </w:t>
      </w:r>
      <w:r w:rsidR="00775A3D">
        <w:rPr>
          <w:sz w:val="22"/>
          <w:szCs w:val="22"/>
        </w:rPr>
        <w:t>wa</w:t>
      </w:r>
      <w:r w:rsidR="00A220C6">
        <w:rPr>
          <w:sz w:val="22"/>
          <w:szCs w:val="22"/>
        </w:rPr>
        <w:t>s located</w:t>
      </w:r>
      <w:r w:rsidRPr="000F43B3">
        <w:rPr>
          <w:sz w:val="22"/>
          <w:szCs w:val="22"/>
        </w:rPr>
        <w:t xml:space="preserve"> within the threshold distance; </w:t>
      </w:r>
      <w:r w:rsidRPr="000F43B3">
        <w:rPr>
          <w:i/>
          <w:iCs/>
          <w:sz w:val="22"/>
          <w:szCs w:val="22"/>
        </w:rPr>
        <w:t>D</w:t>
      </w:r>
      <w:r w:rsidRPr="000F43B3">
        <w:rPr>
          <w:sz w:val="22"/>
          <w:szCs w:val="22"/>
        </w:rPr>
        <w:t xml:space="preserve"> </w:t>
      </w:r>
      <w:r w:rsidR="00775A3D">
        <w:rPr>
          <w:sz w:val="22"/>
          <w:szCs w:val="22"/>
        </w:rPr>
        <w:t>wa</w:t>
      </w:r>
      <w:r w:rsidRPr="000F43B3">
        <w:rPr>
          <w:sz w:val="22"/>
          <w:szCs w:val="22"/>
        </w:rPr>
        <w:t xml:space="preserve">s the threshold distance for the search radius; and </w:t>
      </w:r>
      <w:r w:rsidRPr="000F43B3">
        <w:rPr>
          <w:i/>
          <w:iCs/>
          <w:sz w:val="22"/>
          <w:szCs w:val="22"/>
        </w:rPr>
        <w:t>A</w:t>
      </w:r>
      <w:r w:rsidRPr="000F43B3">
        <w:rPr>
          <w:i/>
          <w:iCs/>
          <w:sz w:val="22"/>
          <w:szCs w:val="22"/>
          <w:vertAlign w:val="subscript"/>
        </w:rPr>
        <w:t>i</w:t>
      </w:r>
      <w:r w:rsidRPr="000F43B3">
        <w:rPr>
          <w:sz w:val="22"/>
          <w:szCs w:val="22"/>
        </w:rPr>
        <w:t xml:space="preserve"> </w:t>
      </w:r>
      <w:r w:rsidR="00775A3D">
        <w:rPr>
          <w:sz w:val="22"/>
          <w:szCs w:val="22"/>
        </w:rPr>
        <w:t>wa</w:t>
      </w:r>
      <w:r w:rsidRPr="000F43B3">
        <w:rPr>
          <w:sz w:val="22"/>
          <w:szCs w:val="22"/>
        </w:rPr>
        <w:t xml:space="preserve">s the accessibility score at location </w:t>
      </w:r>
      <w:r w:rsidRPr="000F43B3">
        <w:rPr>
          <w:i/>
          <w:iCs/>
          <w:sz w:val="22"/>
          <w:szCs w:val="22"/>
        </w:rPr>
        <w:t>i</w:t>
      </w:r>
      <w:r w:rsidRPr="000F43B3">
        <w:rPr>
          <w:sz w:val="22"/>
          <w:szCs w:val="22"/>
        </w:rPr>
        <w:t>.</w:t>
      </w:r>
    </w:p>
    <w:p w14:paraId="597768E7" w14:textId="5439F6FF" w:rsidR="00367F0F" w:rsidRPr="000F43B3" w:rsidRDefault="00367F0F">
      <w:pPr>
        <w:rPr>
          <w:sz w:val="22"/>
          <w:szCs w:val="22"/>
        </w:rPr>
      </w:pPr>
      <w:r w:rsidRPr="000F43B3">
        <w:rPr>
          <w:sz w:val="22"/>
          <w:szCs w:val="22"/>
        </w:rPr>
        <w:t xml:space="preserve">We utilized </w:t>
      </w:r>
      <w:r>
        <w:rPr>
          <w:sz w:val="22"/>
          <w:szCs w:val="22"/>
        </w:rPr>
        <w:t>an</w:t>
      </w:r>
      <w:r w:rsidRPr="000F43B3">
        <w:rPr>
          <w:sz w:val="22"/>
          <w:szCs w:val="22"/>
        </w:rPr>
        <w:t xml:space="preserve"> Open-Source Routing Machine for calculating drive</w:t>
      </w:r>
      <w:r w:rsidR="00775A3D">
        <w:rPr>
          <w:sz w:val="22"/>
          <w:szCs w:val="22"/>
        </w:rPr>
        <w:t>-</w:t>
      </w:r>
      <w:r w:rsidRPr="000F43B3">
        <w:rPr>
          <w:sz w:val="22"/>
          <w:szCs w:val="22"/>
        </w:rPr>
        <w:t xml:space="preserve">time between provider and population centroids using a </w:t>
      </w:r>
      <w:r>
        <w:rPr>
          <w:sz w:val="22"/>
          <w:szCs w:val="22"/>
        </w:rPr>
        <w:t>45</w:t>
      </w:r>
      <w:r w:rsidRPr="000F43B3">
        <w:rPr>
          <w:sz w:val="22"/>
          <w:szCs w:val="22"/>
        </w:rPr>
        <w:t>-minute drive-time threshold distance to generate a spatial accessibility index.</w:t>
      </w:r>
      <w:r w:rsidR="00274B9C">
        <w:rPr>
          <w:sz w:val="22"/>
          <w:szCs w:val="22"/>
        </w:rPr>
        <w:t xml:space="preserve"> Recently published information reported an average 48 drive-time to opioid treatment program in rural census tracts.</w:t>
      </w:r>
      <w:r w:rsidR="00573A4E">
        <w:rPr>
          <w:sz w:val="22"/>
          <w:szCs w:val="22"/>
        </w:rPr>
        <w:fldChar w:fldCharType="begin"/>
      </w:r>
      <w:r w:rsidR="00573A4E">
        <w:rPr>
          <w:sz w:val="22"/>
          <w:szCs w:val="22"/>
        </w:rPr>
        <w:instrText xml:space="preserve"> ADDIN ZOTERO_ITEM CSL_CITATION {"citationID":"OQM7dtle","properties":{"formattedCitation":"\\super 19\\nosupersub{}","plainCitation":"19","noteIndex":0},"citationItems":[{"id":1432,"uris":["http://zotero.org/users/454081/items/J6T8545Q"],"uri":["http://zotero.org/users/454081/items/J6T8545Q"],"itemData":{"id":1432,"type":"article-journal","abstract":"Background\nWithin the United States, there is a shortage of opioid treatment programs (OTPs), facilities which dispense methadone for opioid use disorder. It is unknown how pharmacy-based methadone dispensing, as available internationally, could affect methadone access. We aimed to compare drive times to the nearest OTP with drive times to the nearest chain pharmacy in urban and rural census tracts.\nMethods\nCross-sectional geospatial analysis of 2018 OTP location data and 2017 pharmacy location data. We included census tracts with non-zero population in Indiana, Kentucky, Ohio, Virginia, and West Virginia, states with highest rates of opioid overdose deaths. Our outcome was minimum drive time in minutes from census tract mean center of population to the nearest dispensing facility.\nResults\nAmong 7918 census tracts, median (IQR) drive time to OTPs increased from urban to increasingly rural census tract classification [16.1 min (10.2–25.9) to 48.4 min (34.0–63.3);p &lt; .001]. Median (IQR) drive time to OTPs was greater than drive time to chain pharmacies among all census tracts: 19.6 min (11.6–35.1) versus 4.4 min (2.9–7.7) respectively; p &lt; .001. The median (IQR) difference in drive time was greater for increasingly rural census tracts [11.5 min (6.1–19.2) to 35.2 min (19.6–49.7); p &lt;.001] with pharmacy-based methadone dispensing.\nConclusion\nRural census tracts have disproportionately long drive times to OTPs. Drawing from policies to increase methadone access in countries like Canada and Australia, this geographic methadone disparity could be mitigated through implementation of pharmacy-based methadone dispensing.","container-title":"Drug and Alcohol Dependence","DOI":"10.1016/j.drugalcdep.2020.107968","ISSN":"0376-8716","journalAbbreviation":"Drug and Alcohol Dependence","language":"en","page":"107968","source":"ScienceDirect","title":"Pharmacy-based methadone dispensing and drive time to methadone treatment in five states within the United States: A cross-sectional study","title-short":"Pharmacy-based methadone dispensing and drive time to methadone treatment in five states within the United States","volume":"211","author":[{"family":"Joudrey","given":"Paul J."},{"family":"Chadi","given":"Nicholas"},{"family":"Roy","given":"Payel"},{"family":"Morford","given":"Kenneth L."},{"family":"Bach","given":"Paxton"},{"family":"Kimmel","given":"Simeon"},{"family":"Wang","given":"Emily A."},{"family":"Calcaterra","given":"Susan L."}],"issued":{"date-parts":[["2020",6,1]]}}}],"schema":"https://github.com/citation-style-language/schema/raw/master/csl-citation.json"} </w:instrText>
      </w:r>
      <w:r w:rsidR="00573A4E">
        <w:rPr>
          <w:sz w:val="22"/>
          <w:szCs w:val="22"/>
        </w:rPr>
        <w:fldChar w:fldCharType="separate"/>
      </w:r>
      <w:r w:rsidR="00573A4E" w:rsidRPr="00573A4E">
        <w:rPr>
          <w:rFonts w:ascii="Calibri" w:hAnsi="Calibri" w:cs="Calibri"/>
          <w:sz w:val="22"/>
          <w:szCs w:val="24"/>
          <w:vertAlign w:val="superscript"/>
        </w:rPr>
        <w:t>19</w:t>
      </w:r>
      <w:r w:rsidR="00573A4E">
        <w:rPr>
          <w:sz w:val="22"/>
          <w:szCs w:val="22"/>
        </w:rPr>
        <w:fldChar w:fldCharType="end"/>
      </w:r>
      <w:r w:rsidR="00274B9C">
        <w:rPr>
          <w:sz w:val="22"/>
          <w:szCs w:val="22"/>
        </w:rPr>
        <w:t xml:space="preserve"> Our recommendation of using 45-minute drive-time threshold was further supported by the stakeholders in Wyoming.   </w:t>
      </w:r>
      <w:r w:rsidRPr="000F43B3">
        <w:rPr>
          <w:sz w:val="22"/>
          <w:szCs w:val="22"/>
        </w:rPr>
        <w:t xml:space="preserve"> As the data for buprenorphine capacity (i.e., number of treatment slots) for each provider was not available, </w:t>
      </w:r>
      <w:bookmarkStart w:id="5" w:name="_Hlk54256645"/>
      <w:r w:rsidR="00285824" w:rsidRPr="000F43B3">
        <w:rPr>
          <w:sz w:val="22"/>
          <w:szCs w:val="22"/>
        </w:rPr>
        <w:t xml:space="preserve">we assumed that the number of providers at each location </w:t>
      </w:r>
      <w:r w:rsidR="00775A3D">
        <w:rPr>
          <w:sz w:val="22"/>
          <w:szCs w:val="22"/>
        </w:rPr>
        <w:t>was</w:t>
      </w:r>
      <w:r w:rsidR="00285824" w:rsidRPr="000F43B3">
        <w:rPr>
          <w:sz w:val="22"/>
          <w:szCs w:val="22"/>
        </w:rPr>
        <w:t xml:space="preserve"> constant across all sites and assigned it a value of 1. We conducted the spatial analysis using R 4.0.2 (Vienna, Austria).</w:t>
      </w:r>
      <w:bookmarkEnd w:id="5"/>
    </w:p>
    <w:p w14:paraId="660B88BF" w14:textId="34344DB8" w:rsidR="00BC2A88" w:rsidRDefault="000614E8" w:rsidP="00573120">
      <w:pPr>
        <w:rPr>
          <w:sz w:val="22"/>
          <w:szCs w:val="22"/>
        </w:rPr>
      </w:pPr>
      <w:r w:rsidRPr="00573120">
        <w:rPr>
          <w:b/>
          <w:bCs/>
          <w:sz w:val="22"/>
          <w:szCs w:val="22"/>
        </w:rPr>
        <w:t>Analysis, Vulnerability Scores, and Ranking.</w:t>
      </w:r>
      <w:r w:rsidR="001322A2" w:rsidRPr="00573120">
        <w:rPr>
          <w:sz w:val="22"/>
          <w:szCs w:val="22"/>
        </w:rPr>
        <w:t xml:space="preserve"> We used a weighted ranks </w:t>
      </w:r>
      <w:r w:rsidR="001D3CAB">
        <w:rPr>
          <w:sz w:val="22"/>
          <w:szCs w:val="22"/>
        </w:rPr>
        <w:t>approach</w:t>
      </w:r>
      <w:r w:rsidR="001D3CAB" w:rsidRPr="00573120">
        <w:rPr>
          <w:sz w:val="22"/>
          <w:szCs w:val="22"/>
        </w:rPr>
        <w:t xml:space="preserve"> </w:t>
      </w:r>
      <w:r w:rsidR="001322A2" w:rsidRPr="00573120">
        <w:rPr>
          <w:sz w:val="22"/>
          <w:szCs w:val="22"/>
        </w:rPr>
        <w:t>to calculate vulnerability scores</w:t>
      </w:r>
      <w:r w:rsidR="00D13B48">
        <w:rPr>
          <w:sz w:val="22"/>
          <w:szCs w:val="22"/>
        </w:rPr>
        <w:t xml:space="preserve">, </w:t>
      </w:r>
      <w:r w:rsidR="001322A2" w:rsidRPr="00573120">
        <w:rPr>
          <w:sz w:val="22"/>
          <w:szCs w:val="22"/>
        </w:rPr>
        <w:t>rank</w:t>
      </w:r>
      <w:r w:rsidR="00D13B48">
        <w:rPr>
          <w:sz w:val="22"/>
          <w:szCs w:val="22"/>
        </w:rPr>
        <w:t>ing</w:t>
      </w:r>
      <w:r w:rsidR="001322A2" w:rsidRPr="00573120">
        <w:rPr>
          <w:sz w:val="22"/>
          <w:szCs w:val="22"/>
        </w:rPr>
        <w:t xml:space="preserve"> counties from most to least vulnerable</w:t>
      </w:r>
      <w:r w:rsidR="003838E2">
        <w:rPr>
          <w:sz w:val="22"/>
          <w:szCs w:val="22"/>
        </w:rPr>
        <w:t xml:space="preserve"> (Figure 1)</w:t>
      </w:r>
      <w:r w:rsidR="001322A2" w:rsidRPr="00573120">
        <w:rPr>
          <w:sz w:val="22"/>
          <w:szCs w:val="22"/>
        </w:rPr>
        <w:t xml:space="preserve">. First, we calculated correlation coefficients </w:t>
      </w:r>
      <w:r w:rsidR="00D13B48">
        <w:rPr>
          <w:sz w:val="22"/>
          <w:szCs w:val="22"/>
        </w:rPr>
        <w:t xml:space="preserve">to </w:t>
      </w:r>
      <w:r w:rsidR="001322A2" w:rsidRPr="00573120">
        <w:rPr>
          <w:sz w:val="22"/>
          <w:szCs w:val="22"/>
        </w:rPr>
        <w:t xml:space="preserve">determine the direction </w:t>
      </w:r>
      <w:r w:rsidR="00C86F17">
        <w:rPr>
          <w:sz w:val="22"/>
          <w:szCs w:val="22"/>
        </w:rPr>
        <w:t xml:space="preserve">and strength </w:t>
      </w:r>
      <w:r w:rsidR="001322A2" w:rsidRPr="00573120">
        <w:rPr>
          <w:sz w:val="22"/>
          <w:szCs w:val="22"/>
        </w:rPr>
        <w:t xml:space="preserve">of association between fatal opioid overdose and each of the five core measures and </w:t>
      </w:r>
      <w:r w:rsidR="00285824">
        <w:rPr>
          <w:sz w:val="22"/>
          <w:szCs w:val="22"/>
        </w:rPr>
        <w:t xml:space="preserve">the </w:t>
      </w:r>
      <w:r w:rsidR="001322A2" w:rsidRPr="00573120">
        <w:rPr>
          <w:sz w:val="22"/>
          <w:szCs w:val="22"/>
        </w:rPr>
        <w:t xml:space="preserve">covariates listed </w:t>
      </w:r>
      <w:r w:rsidR="00285824">
        <w:rPr>
          <w:sz w:val="22"/>
          <w:szCs w:val="22"/>
        </w:rPr>
        <w:t>in Table 2</w:t>
      </w:r>
      <w:r w:rsidR="001322A2" w:rsidRPr="00573120">
        <w:rPr>
          <w:sz w:val="22"/>
          <w:szCs w:val="22"/>
        </w:rPr>
        <w:t xml:space="preserve">. Next, we assigned </w:t>
      </w:r>
      <w:r w:rsidR="00330574">
        <w:rPr>
          <w:sz w:val="22"/>
          <w:szCs w:val="22"/>
        </w:rPr>
        <w:t xml:space="preserve">quintile ranks </w:t>
      </w:r>
      <w:r w:rsidR="00C86F17">
        <w:rPr>
          <w:sz w:val="22"/>
          <w:szCs w:val="22"/>
        </w:rPr>
        <w:t>to</w:t>
      </w:r>
      <w:r w:rsidR="001322A2" w:rsidRPr="00573120">
        <w:rPr>
          <w:sz w:val="22"/>
          <w:szCs w:val="22"/>
        </w:rPr>
        <w:t xml:space="preserve"> </w:t>
      </w:r>
      <w:r w:rsidR="00AA22A4">
        <w:rPr>
          <w:sz w:val="22"/>
          <w:szCs w:val="22"/>
        </w:rPr>
        <w:t>all</w:t>
      </w:r>
      <w:r w:rsidR="00AA22A4" w:rsidRPr="00573120">
        <w:rPr>
          <w:sz w:val="22"/>
          <w:szCs w:val="22"/>
        </w:rPr>
        <w:t xml:space="preserve"> </w:t>
      </w:r>
      <w:r w:rsidR="001322A2" w:rsidRPr="00573120">
        <w:rPr>
          <w:sz w:val="22"/>
          <w:szCs w:val="22"/>
        </w:rPr>
        <w:t>core measure</w:t>
      </w:r>
      <w:r w:rsidR="00AA22A4">
        <w:rPr>
          <w:sz w:val="22"/>
          <w:szCs w:val="22"/>
        </w:rPr>
        <w:t>s</w:t>
      </w:r>
      <w:r w:rsidR="001322A2" w:rsidRPr="00573120">
        <w:rPr>
          <w:sz w:val="22"/>
          <w:szCs w:val="22"/>
        </w:rPr>
        <w:t xml:space="preserve"> and covariate</w:t>
      </w:r>
      <w:r w:rsidR="00AA22A4">
        <w:rPr>
          <w:sz w:val="22"/>
          <w:szCs w:val="22"/>
        </w:rPr>
        <w:t>s</w:t>
      </w:r>
      <w:r w:rsidR="000C2BF6">
        <w:rPr>
          <w:sz w:val="22"/>
          <w:szCs w:val="22"/>
        </w:rPr>
        <w:t xml:space="preserve"> by county</w:t>
      </w:r>
      <w:r w:rsidR="001322A2" w:rsidRPr="00573120">
        <w:rPr>
          <w:sz w:val="22"/>
          <w:szCs w:val="22"/>
        </w:rPr>
        <w:t xml:space="preserve">, with 5=high and 1=low. We flipped the ranks for </w:t>
      </w:r>
      <w:r w:rsidR="00C86F17">
        <w:rPr>
          <w:sz w:val="22"/>
          <w:szCs w:val="22"/>
        </w:rPr>
        <w:t>per capita income and percentage of married couple households,</w:t>
      </w:r>
      <w:r w:rsidR="00C86F17" w:rsidRPr="00573120">
        <w:rPr>
          <w:sz w:val="22"/>
          <w:szCs w:val="22"/>
        </w:rPr>
        <w:t xml:space="preserve"> </w:t>
      </w:r>
      <w:r w:rsidR="00C86F17">
        <w:rPr>
          <w:sz w:val="22"/>
          <w:szCs w:val="22"/>
        </w:rPr>
        <w:t>which</w:t>
      </w:r>
      <w:r w:rsidR="00C86F17" w:rsidRPr="00573120">
        <w:rPr>
          <w:sz w:val="22"/>
          <w:szCs w:val="22"/>
        </w:rPr>
        <w:t xml:space="preserve"> </w:t>
      </w:r>
      <w:r w:rsidR="00C86F17">
        <w:rPr>
          <w:sz w:val="22"/>
          <w:szCs w:val="22"/>
        </w:rPr>
        <w:t>typically have</w:t>
      </w:r>
      <w:r w:rsidR="00C86F17" w:rsidRPr="00573120">
        <w:rPr>
          <w:sz w:val="22"/>
          <w:szCs w:val="22"/>
        </w:rPr>
        <w:t xml:space="preserve"> </w:t>
      </w:r>
      <w:r w:rsidR="001322A2" w:rsidRPr="00573120">
        <w:rPr>
          <w:sz w:val="22"/>
          <w:szCs w:val="22"/>
        </w:rPr>
        <w:t xml:space="preserve">a negative </w:t>
      </w:r>
      <w:r w:rsidR="00C86F17">
        <w:rPr>
          <w:sz w:val="22"/>
          <w:szCs w:val="22"/>
        </w:rPr>
        <w:t xml:space="preserve">(or inverse) </w:t>
      </w:r>
      <w:r w:rsidR="001322A2" w:rsidRPr="00573120">
        <w:rPr>
          <w:sz w:val="22"/>
          <w:szCs w:val="22"/>
        </w:rPr>
        <w:t>association</w:t>
      </w:r>
      <w:r w:rsidR="00860974">
        <w:rPr>
          <w:sz w:val="22"/>
          <w:szCs w:val="22"/>
        </w:rPr>
        <w:t xml:space="preserve"> with opioid vulnerability. For example, high per capita</w:t>
      </w:r>
      <w:r w:rsidR="001322A2" w:rsidRPr="00573120">
        <w:rPr>
          <w:sz w:val="22"/>
          <w:szCs w:val="22"/>
        </w:rPr>
        <w:t xml:space="preserve"> income is typically protective; therefore, the lowest quintile for per capita income was assigned a rank of </w:t>
      </w:r>
      <w:r w:rsidR="001D3CAB">
        <w:rPr>
          <w:sz w:val="22"/>
          <w:szCs w:val="22"/>
        </w:rPr>
        <w:t>five</w:t>
      </w:r>
      <w:r w:rsidR="001322A2" w:rsidRPr="00573120">
        <w:rPr>
          <w:sz w:val="22"/>
          <w:szCs w:val="22"/>
        </w:rPr>
        <w:t xml:space="preserve">. Next, </w:t>
      </w:r>
      <w:r w:rsidR="00330574">
        <w:rPr>
          <w:sz w:val="22"/>
          <w:szCs w:val="22"/>
        </w:rPr>
        <w:t xml:space="preserve">we multiplied </w:t>
      </w:r>
      <w:r w:rsidR="001322A2" w:rsidRPr="00573120">
        <w:rPr>
          <w:sz w:val="22"/>
          <w:szCs w:val="22"/>
        </w:rPr>
        <w:t xml:space="preserve">the quintile rank for each core measure by </w:t>
      </w:r>
      <w:r w:rsidR="001D3CAB">
        <w:rPr>
          <w:sz w:val="22"/>
          <w:szCs w:val="22"/>
        </w:rPr>
        <w:t>three</w:t>
      </w:r>
      <w:r w:rsidR="001322A2" w:rsidRPr="00573120">
        <w:rPr>
          <w:sz w:val="22"/>
          <w:szCs w:val="22"/>
        </w:rPr>
        <w:t xml:space="preserve"> </w:t>
      </w:r>
      <w:r w:rsidR="001D3CAB">
        <w:rPr>
          <w:sz w:val="22"/>
          <w:szCs w:val="22"/>
        </w:rPr>
        <w:t>given their</w:t>
      </w:r>
      <w:r w:rsidR="001322A2" w:rsidRPr="00573120">
        <w:rPr>
          <w:sz w:val="22"/>
          <w:szCs w:val="22"/>
        </w:rPr>
        <w:t xml:space="preserve"> stronger association with </w:t>
      </w:r>
      <w:r w:rsidR="001D3CAB">
        <w:rPr>
          <w:sz w:val="22"/>
          <w:szCs w:val="22"/>
        </w:rPr>
        <w:t>opioid overdose, based on the literature</w:t>
      </w:r>
      <w:r w:rsidR="00267616">
        <w:rPr>
          <w:sz w:val="22"/>
          <w:szCs w:val="22"/>
        </w:rPr>
        <w:t xml:space="preserve">. </w:t>
      </w:r>
      <w:r w:rsidR="001322A2" w:rsidRPr="00573120">
        <w:rPr>
          <w:sz w:val="22"/>
          <w:szCs w:val="22"/>
        </w:rPr>
        <w:t xml:space="preserve">We summed the weighted quintile ranks for each county to calculate the </w:t>
      </w:r>
      <w:r w:rsidR="001D3CAB">
        <w:rPr>
          <w:sz w:val="22"/>
          <w:szCs w:val="22"/>
        </w:rPr>
        <w:t xml:space="preserve">vulnerability </w:t>
      </w:r>
      <w:r w:rsidR="001322A2" w:rsidRPr="00573120">
        <w:rPr>
          <w:sz w:val="22"/>
          <w:szCs w:val="22"/>
        </w:rPr>
        <w:t xml:space="preserve">score. We then sorted vulnerability scores from highest to lowest to </w:t>
      </w:r>
      <w:r w:rsidR="00F30F12" w:rsidRPr="00573120">
        <w:rPr>
          <w:sz w:val="22"/>
          <w:szCs w:val="22"/>
        </w:rPr>
        <w:t>assign</w:t>
      </w:r>
      <w:r w:rsidR="00553C1E" w:rsidRPr="00573120">
        <w:rPr>
          <w:sz w:val="22"/>
          <w:szCs w:val="22"/>
        </w:rPr>
        <w:t xml:space="preserve"> </w:t>
      </w:r>
      <w:r w:rsidR="001D3CAB">
        <w:rPr>
          <w:sz w:val="22"/>
          <w:szCs w:val="22"/>
        </w:rPr>
        <w:t>final</w:t>
      </w:r>
      <w:r w:rsidR="001D3CAB" w:rsidRPr="00573120">
        <w:rPr>
          <w:sz w:val="22"/>
          <w:szCs w:val="22"/>
        </w:rPr>
        <w:t xml:space="preserve"> </w:t>
      </w:r>
      <w:r w:rsidR="00553C1E" w:rsidRPr="00573120">
        <w:rPr>
          <w:sz w:val="22"/>
          <w:szCs w:val="22"/>
        </w:rPr>
        <w:t xml:space="preserve">ranks. We </w:t>
      </w:r>
      <w:r w:rsidR="00AA22A4">
        <w:rPr>
          <w:sz w:val="22"/>
          <w:szCs w:val="22"/>
        </w:rPr>
        <w:t>mapped</w:t>
      </w:r>
      <w:r w:rsidR="00AA22A4" w:rsidRPr="00573120">
        <w:rPr>
          <w:sz w:val="22"/>
          <w:szCs w:val="22"/>
        </w:rPr>
        <w:t xml:space="preserve"> </w:t>
      </w:r>
      <w:r w:rsidR="00553C1E" w:rsidRPr="00573120">
        <w:rPr>
          <w:sz w:val="22"/>
          <w:szCs w:val="22"/>
        </w:rPr>
        <w:t xml:space="preserve">the </w:t>
      </w:r>
      <w:r w:rsidR="00AA22A4">
        <w:rPr>
          <w:sz w:val="22"/>
          <w:szCs w:val="22"/>
        </w:rPr>
        <w:t>ranks</w:t>
      </w:r>
      <w:r w:rsidR="00AA22A4" w:rsidRPr="00573120">
        <w:rPr>
          <w:sz w:val="22"/>
          <w:szCs w:val="22"/>
        </w:rPr>
        <w:t xml:space="preserve"> </w:t>
      </w:r>
      <w:r w:rsidR="00553C1E" w:rsidRPr="00573120">
        <w:rPr>
          <w:sz w:val="22"/>
          <w:szCs w:val="22"/>
        </w:rPr>
        <w:t xml:space="preserve">according to quintiles and created a table displaying the vulnerability scores and ranks by county. </w:t>
      </w:r>
    </w:p>
    <w:p w14:paraId="4147B16E" w14:textId="77777777" w:rsidR="00F96550" w:rsidRDefault="003838E2" w:rsidP="002C7381">
      <w:pPr>
        <w:keepNext/>
      </w:pPr>
      <w:r>
        <w:rPr>
          <w:noProof/>
          <w:sz w:val="22"/>
          <w:szCs w:val="22"/>
        </w:rPr>
        <w:drawing>
          <wp:inline distT="0" distB="0" distL="0" distR="0" wp14:anchorId="637D38D3" wp14:editId="49F7EC6A">
            <wp:extent cx="6334125" cy="2876550"/>
            <wp:effectExtent l="0" t="0" r="952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4A50EC0" w14:textId="35BF8717" w:rsidR="00AA22A4" w:rsidRPr="0091564E" w:rsidRDefault="00F96550" w:rsidP="00AA22A4">
      <w:pPr>
        <w:rPr>
          <w:b/>
          <w:bCs/>
          <w:color w:val="4472C4" w:themeColor="accent1"/>
          <w:sz w:val="16"/>
          <w:szCs w:val="16"/>
        </w:rPr>
      </w:pPr>
      <w:r w:rsidRPr="0091564E">
        <w:rPr>
          <w:b/>
          <w:bCs/>
          <w:color w:val="4472C4" w:themeColor="accent1"/>
          <w:sz w:val="16"/>
          <w:szCs w:val="16"/>
        </w:rPr>
        <w:t xml:space="preserve">Figure </w:t>
      </w:r>
      <w:r w:rsidRPr="0091564E">
        <w:rPr>
          <w:b/>
          <w:bCs/>
          <w:color w:val="4472C4" w:themeColor="accent1"/>
          <w:sz w:val="16"/>
          <w:szCs w:val="16"/>
        </w:rPr>
        <w:fldChar w:fldCharType="begin"/>
      </w:r>
      <w:r w:rsidRPr="0091564E">
        <w:rPr>
          <w:b/>
          <w:bCs/>
          <w:color w:val="4472C4" w:themeColor="accent1"/>
          <w:sz w:val="16"/>
          <w:szCs w:val="16"/>
        </w:rPr>
        <w:instrText xml:space="preserve"> SEQ Figure \* ARABIC </w:instrText>
      </w:r>
      <w:r w:rsidRPr="0091564E">
        <w:rPr>
          <w:b/>
          <w:bCs/>
          <w:color w:val="4472C4" w:themeColor="accent1"/>
          <w:sz w:val="16"/>
          <w:szCs w:val="16"/>
        </w:rPr>
        <w:fldChar w:fldCharType="separate"/>
      </w:r>
      <w:r w:rsidR="0091564E" w:rsidRPr="0091564E">
        <w:rPr>
          <w:b/>
          <w:bCs/>
          <w:noProof/>
          <w:color w:val="4472C4" w:themeColor="accent1"/>
          <w:sz w:val="16"/>
          <w:szCs w:val="16"/>
        </w:rPr>
        <w:t>1</w:t>
      </w:r>
      <w:r w:rsidRPr="0091564E">
        <w:rPr>
          <w:b/>
          <w:bCs/>
          <w:color w:val="4472C4" w:themeColor="accent1"/>
          <w:sz w:val="16"/>
          <w:szCs w:val="16"/>
        </w:rPr>
        <w:fldChar w:fldCharType="end"/>
      </w:r>
      <w:r w:rsidRPr="0091564E">
        <w:rPr>
          <w:b/>
          <w:bCs/>
          <w:color w:val="4472C4" w:themeColor="accent1"/>
          <w:sz w:val="16"/>
          <w:szCs w:val="16"/>
        </w:rPr>
        <w:t xml:space="preserve">. Steps in the weighted ranks method of </w:t>
      </w:r>
      <w:r w:rsidR="001D3CAB" w:rsidRPr="0091564E">
        <w:rPr>
          <w:b/>
          <w:bCs/>
          <w:color w:val="4472C4" w:themeColor="accent1"/>
          <w:sz w:val="16"/>
          <w:szCs w:val="16"/>
        </w:rPr>
        <w:t xml:space="preserve">opioid </w:t>
      </w:r>
      <w:r w:rsidRPr="0091564E">
        <w:rPr>
          <w:b/>
          <w:bCs/>
          <w:color w:val="4472C4" w:themeColor="accent1"/>
          <w:sz w:val="16"/>
          <w:szCs w:val="16"/>
        </w:rPr>
        <w:t>vulnerability assessment</w:t>
      </w:r>
      <w:r w:rsidR="001D3CAB" w:rsidRPr="0091564E">
        <w:rPr>
          <w:b/>
          <w:bCs/>
          <w:color w:val="4472C4" w:themeColor="accent1"/>
          <w:sz w:val="16"/>
          <w:szCs w:val="16"/>
        </w:rPr>
        <w:t>, Wyoming, 2016-2018.</w:t>
      </w:r>
    </w:p>
    <w:p w14:paraId="7A86FCD5" w14:textId="279E690C" w:rsidR="000C2BF6" w:rsidRDefault="000C2BF6">
      <w:pPr>
        <w:rPr>
          <w:b/>
          <w:bCs/>
          <w:sz w:val="22"/>
          <w:szCs w:val="22"/>
        </w:rPr>
      </w:pPr>
      <w:r>
        <w:rPr>
          <w:b/>
          <w:bCs/>
          <w:sz w:val="22"/>
          <w:szCs w:val="22"/>
        </w:rPr>
        <w:br w:type="page"/>
      </w:r>
    </w:p>
    <w:p w14:paraId="620B7AA1" w14:textId="0DEC15A6" w:rsidR="00813B97" w:rsidRDefault="000C2BF6" w:rsidP="00813B97">
      <w:pPr>
        <w:pStyle w:val="Heading1"/>
      </w:pPr>
      <w:bookmarkStart w:id="6" w:name="_Toc61961293"/>
      <w:r>
        <w:t>R</w:t>
      </w:r>
      <w:r w:rsidR="00813B97">
        <w:t>esults</w:t>
      </w:r>
      <w:bookmarkEnd w:id="6"/>
    </w:p>
    <w:p w14:paraId="5B7EA757" w14:textId="0B14F3EC" w:rsidR="00920C25" w:rsidRDefault="00813B97" w:rsidP="00813B97">
      <w:pPr>
        <w:rPr>
          <w:sz w:val="22"/>
          <w:szCs w:val="22"/>
        </w:rPr>
      </w:pPr>
      <w:r w:rsidRPr="00813B97">
        <w:rPr>
          <w:b/>
          <w:bCs/>
          <w:sz w:val="22"/>
          <w:szCs w:val="22"/>
        </w:rPr>
        <w:t>Descriptive Mapping</w:t>
      </w:r>
      <w:r w:rsidR="003C2CE4">
        <w:rPr>
          <w:b/>
          <w:bCs/>
          <w:sz w:val="22"/>
          <w:szCs w:val="22"/>
        </w:rPr>
        <w:t xml:space="preserve"> and Weighted Ranks Analysis</w:t>
      </w:r>
      <w:r w:rsidRPr="00813B97">
        <w:rPr>
          <w:b/>
          <w:bCs/>
          <w:sz w:val="22"/>
          <w:szCs w:val="22"/>
        </w:rPr>
        <w:t>.</w:t>
      </w:r>
      <w:r w:rsidRPr="00813B97">
        <w:rPr>
          <w:sz w:val="22"/>
          <w:szCs w:val="22"/>
        </w:rPr>
        <w:t xml:space="preserve"> </w:t>
      </w:r>
      <w:r w:rsidR="002A40B9">
        <w:rPr>
          <w:sz w:val="22"/>
          <w:szCs w:val="22"/>
        </w:rPr>
        <w:t>Our d</w:t>
      </w:r>
      <w:r>
        <w:rPr>
          <w:sz w:val="22"/>
          <w:szCs w:val="22"/>
        </w:rPr>
        <w:t xml:space="preserve">escriptive maps of core measures and </w:t>
      </w:r>
      <w:r w:rsidR="0084637D">
        <w:rPr>
          <w:sz w:val="22"/>
          <w:szCs w:val="22"/>
        </w:rPr>
        <w:t>quintile ranking</w:t>
      </w:r>
      <w:r w:rsidR="002A40B9">
        <w:rPr>
          <w:sz w:val="22"/>
          <w:szCs w:val="22"/>
        </w:rPr>
        <w:t>s</w:t>
      </w:r>
      <w:r w:rsidR="0084637D">
        <w:rPr>
          <w:sz w:val="22"/>
          <w:szCs w:val="22"/>
        </w:rPr>
        <w:t xml:space="preserve"> of</w:t>
      </w:r>
      <w:r>
        <w:rPr>
          <w:sz w:val="22"/>
          <w:szCs w:val="22"/>
        </w:rPr>
        <w:t xml:space="preserve"> covariates offered insight into the spatial distribution of individual contributors to opioid-overdose vulnerability</w:t>
      </w:r>
      <w:r w:rsidR="001C6477">
        <w:rPr>
          <w:sz w:val="22"/>
          <w:szCs w:val="22"/>
        </w:rPr>
        <w:t xml:space="preserve"> and highlighted counties that ranked high in multiple risk factors</w:t>
      </w:r>
      <w:r>
        <w:rPr>
          <w:sz w:val="22"/>
          <w:szCs w:val="22"/>
        </w:rPr>
        <w:t xml:space="preserve">. </w:t>
      </w:r>
    </w:p>
    <w:p w14:paraId="751316BF" w14:textId="3F7FDB1E" w:rsidR="00813B97" w:rsidRDefault="00865503" w:rsidP="00813B97">
      <w:pPr>
        <w:rPr>
          <w:sz w:val="22"/>
          <w:szCs w:val="22"/>
        </w:rPr>
      </w:pPr>
      <w:r>
        <w:rPr>
          <w:noProof/>
        </w:rPr>
        <mc:AlternateContent>
          <mc:Choice Requires="wps">
            <w:drawing>
              <wp:anchor distT="0" distB="0" distL="114300" distR="114300" simplePos="0" relativeHeight="251734016" behindDoc="1" locked="0" layoutInCell="1" allowOverlap="1" wp14:anchorId="5486B214" wp14:editId="7E61781E">
                <wp:simplePos x="0" y="0"/>
                <wp:positionH relativeFrom="margin">
                  <wp:posOffset>9525</wp:posOffset>
                </wp:positionH>
                <wp:positionV relativeFrom="paragraph">
                  <wp:posOffset>6297295</wp:posOffset>
                </wp:positionV>
                <wp:extent cx="5943600" cy="386715"/>
                <wp:effectExtent l="0" t="0" r="0" b="9525"/>
                <wp:wrapTight wrapText="bothSides">
                  <wp:wrapPolygon edited="0">
                    <wp:start x="0" y="0"/>
                    <wp:lineTo x="0" y="20983"/>
                    <wp:lineTo x="21531" y="20983"/>
                    <wp:lineTo x="21531"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5943600" cy="386715"/>
                        </a:xfrm>
                        <a:prstGeom prst="rect">
                          <a:avLst/>
                        </a:prstGeom>
                        <a:solidFill>
                          <a:prstClr val="white"/>
                        </a:solidFill>
                        <a:ln>
                          <a:noFill/>
                        </a:ln>
                      </wps:spPr>
                      <wps:txbx>
                        <w:txbxContent>
                          <w:p w14:paraId="337F9684" w14:textId="40C2F5F8" w:rsidR="00E72492" w:rsidRPr="0091564E" w:rsidRDefault="00E72492" w:rsidP="00865503">
                            <w:pPr>
                              <w:pStyle w:val="Caption"/>
                              <w:rPr>
                                <w:noProof/>
                              </w:rPr>
                            </w:pPr>
                            <w:r w:rsidRPr="0091564E">
                              <w:t>Figure 2. Age-adjusted opioid overdose death rate per 100,000 population, Wyoming, 2008-2018.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86B214" id="_x0000_t202" coordsize="21600,21600" o:spt="202" path="m,l,21600r21600,l21600,xe">
                <v:stroke joinstyle="miter"/>
                <v:path gradientshapeok="t" o:connecttype="rect"/>
              </v:shapetype>
              <v:shape id="Text Box 23" o:spid="_x0000_s1026" type="#_x0000_t202" style="position:absolute;margin-left:.75pt;margin-top:495.85pt;width:468pt;height:30.45pt;z-index:-251582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" stroked="f">
                <v:textbox style="mso-fit-shape-to-text:t" inset="0,0,0,0">
                  <w:txbxContent>
                    <w:p w14:paraId="337F9684" w14:textId="40C2F5F8" w:rsidR="00E72492" w:rsidRPr="0091564E" w:rsidRDefault="00E72492" w:rsidP="00865503">
                      <w:pPr>
                        <w:pStyle w:val="Caption"/>
                        <w:rPr>
                          <w:noProof/>
                        </w:rPr>
                      </w:pPr>
                      <w:r w:rsidRPr="0091564E">
                        <w:t>Figure 2. Age-adjusted opioid overdose death rate per 100,000 population, Wyoming, 2008-2018.</w:t>
                      </w:r>
                    </w:p>
                  </w:txbxContent>
                </v:textbox>
                <w10:wrap type="tight" anchorx="margin"/>
              </v:shape>
            </w:pict>
          </mc:Fallback>
        </mc:AlternateContent>
      </w:r>
      <w:r>
        <w:rPr>
          <w:noProof/>
          <w:sz w:val="22"/>
          <w:szCs w:val="22"/>
        </w:rPr>
        <w:drawing>
          <wp:anchor distT="0" distB="0" distL="114300" distR="114300" simplePos="0" relativeHeight="251663360" behindDoc="1" locked="0" layoutInCell="1" allowOverlap="1" wp14:anchorId="3D6B493B" wp14:editId="7E76683C">
            <wp:simplePos x="0" y="0"/>
            <wp:positionH relativeFrom="margin">
              <wp:align>center</wp:align>
            </wp:positionH>
            <wp:positionV relativeFrom="margin">
              <wp:posOffset>2712085</wp:posOffset>
            </wp:positionV>
            <wp:extent cx="5916780" cy="4572000"/>
            <wp:effectExtent l="19050" t="19050" r="27305" b="19050"/>
            <wp:wrapTight wrapText="bothSides">
              <wp:wrapPolygon edited="0">
                <wp:start x="-70" y="-90"/>
                <wp:lineTo x="-70" y="21600"/>
                <wp:lineTo x="21630" y="21600"/>
                <wp:lineTo x="21630" y="-90"/>
                <wp:lineTo x="-70" y="-9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6780" cy="4572000"/>
                    </a:xfrm>
                    <a:prstGeom prst="rect">
                      <a:avLst/>
                    </a:prstGeom>
                    <a:ln>
                      <a:solidFill>
                        <a:schemeClr val="accent3"/>
                      </a:solidFill>
                    </a:ln>
                  </pic:spPr>
                </pic:pic>
              </a:graphicData>
            </a:graphic>
            <wp14:sizeRelH relativeFrom="page">
              <wp14:pctWidth>0</wp14:pctWidth>
            </wp14:sizeRelH>
            <wp14:sizeRelV relativeFrom="page">
              <wp14:pctHeight>0</wp14:pctHeight>
            </wp14:sizeRelV>
          </wp:anchor>
        </w:drawing>
      </w:r>
      <w:r w:rsidR="00920C25" w:rsidRPr="00920C25">
        <w:rPr>
          <w:i/>
          <w:iCs/>
          <w:sz w:val="22"/>
          <w:szCs w:val="22"/>
        </w:rPr>
        <w:t>Core measures</w:t>
      </w:r>
      <w:r w:rsidR="00920C25">
        <w:rPr>
          <w:sz w:val="22"/>
          <w:szCs w:val="22"/>
        </w:rPr>
        <w:t xml:space="preserve">. </w:t>
      </w:r>
      <w:r w:rsidR="00FD2C49">
        <w:rPr>
          <w:sz w:val="22"/>
          <w:szCs w:val="22"/>
        </w:rPr>
        <w:t>T</w:t>
      </w:r>
      <w:r w:rsidR="00920C25">
        <w:rPr>
          <w:sz w:val="22"/>
          <w:szCs w:val="22"/>
        </w:rPr>
        <w:t>he</w:t>
      </w:r>
      <w:r w:rsidR="00964D83">
        <w:rPr>
          <w:sz w:val="22"/>
          <w:szCs w:val="22"/>
        </w:rPr>
        <w:t xml:space="preserve"> rate of opioid overdose deaths by county (Figure 2) </w:t>
      </w:r>
      <w:r w:rsidR="00515432">
        <w:rPr>
          <w:sz w:val="22"/>
          <w:szCs w:val="22"/>
        </w:rPr>
        <w:t>had</w:t>
      </w:r>
      <w:r w:rsidR="00964D83">
        <w:rPr>
          <w:sz w:val="22"/>
          <w:szCs w:val="22"/>
        </w:rPr>
        <w:t xml:space="preserve"> similar spatial distribution</w:t>
      </w:r>
      <w:r w:rsidR="00515432">
        <w:rPr>
          <w:sz w:val="22"/>
          <w:szCs w:val="22"/>
        </w:rPr>
        <w:t>s</w:t>
      </w:r>
      <w:r w:rsidR="00964D83">
        <w:rPr>
          <w:sz w:val="22"/>
          <w:szCs w:val="22"/>
        </w:rPr>
        <w:t xml:space="preserve"> </w:t>
      </w:r>
      <w:r w:rsidR="00515432">
        <w:rPr>
          <w:sz w:val="22"/>
          <w:szCs w:val="22"/>
        </w:rPr>
        <w:t>as</w:t>
      </w:r>
      <w:r w:rsidR="00964D83">
        <w:rPr>
          <w:sz w:val="22"/>
          <w:szCs w:val="22"/>
        </w:rPr>
        <w:t xml:space="preserve"> the</w:t>
      </w:r>
      <w:r w:rsidR="00920C25">
        <w:rPr>
          <w:sz w:val="22"/>
          <w:szCs w:val="22"/>
        </w:rPr>
        <w:t xml:space="preserve"> n</w:t>
      </w:r>
      <w:r w:rsidR="00BB2FA4">
        <w:rPr>
          <w:sz w:val="22"/>
          <w:szCs w:val="22"/>
        </w:rPr>
        <w:t>umber of retail opioid prescriptions</w:t>
      </w:r>
      <w:r w:rsidR="00A63D65">
        <w:rPr>
          <w:sz w:val="22"/>
          <w:szCs w:val="22"/>
        </w:rPr>
        <w:t xml:space="preserve"> </w:t>
      </w:r>
      <w:r w:rsidR="00BB2FA4">
        <w:rPr>
          <w:sz w:val="22"/>
          <w:szCs w:val="22"/>
        </w:rPr>
        <w:t xml:space="preserve">dispensed </w:t>
      </w:r>
      <w:r w:rsidR="00AA22A4">
        <w:rPr>
          <w:sz w:val="22"/>
          <w:szCs w:val="22"/>
        </w:rPr>
        <w:t xml:space="preserve">(Figure </w:t>
      </w:r>
      <w:r w:rsidR="00A24C08">
        <w:rPr>
          <w:sz w:val="22"/>
          <w:szCs w:val="22"/>
        </w:rPr>
        <w:t>3</w:t>
      </w:r>
      <w:r w:rsidR="00AA22A4">
        <w:rPr>
          <w:sz w:val="22"/>
          <w:szCs w:val="22"/>
        </w:rPr>
        <w:t>)</w:t>
      </w:r>
      <w:r w:rsidR="00BB2FA4">
        <w:rPr>
          <w:sz w:val="22"/>
          <w:szCs w:val="22"/>
        </w:rPr>
        <w:t xml:space="preserve">. For both measures, Uinta, Sweetwater, </w:t>
      </w:r>
      <w:r w:rsidR="00A92DB8">
        <w:rPr>
          <w:sz w:val="22"/>
          <w:szCs w:val="22"/>
        </w:rPr>
        <w:t xml:space="preserve">and </w:t>
      </w:r>
      <w:r w:rsidR="00BB2FA4">
        <w:rPr>
          <w:sz w:val="22"/>
          <w:szCs w:val="22"/>
        </w:rPr>
        <w:t xml:space="preserve">Hot Springs </w:t>
      </w:r>
      <w:r w:rsidR="00FD2C49">
        <w:rPr>
          <w:sz w:val="22"/>
          <w:szCs w:val="22"/>
        </w:rPr>
        <w:t>C</w:t>
      </w:r>
      <w:r w:rsidR="00714EFF">
        <w:rPr>
          <w:sz w:val="22"/>
          <w:szCs w:val="22"/>
        </w:rPr>
        <w:t>ounties ranked</w:t>
      </w:r>
      <w:r w:rsidR="002A40B9" w:rsidDel="002A40B9">
        <w:rPr>
          <w:sz w:val="22"/>
          <w:szCs w:val="22"/>
        </w:rPr>
        <w:t xml:space="preserve"> </w:t>
      </w:r>
      <w:r w:rsidR="00BB2FA4">
        <w:rPr>
          <w:sz w:val="22"/>
          <w:szCs w:val="22"/>
        </w:rPr>
        <w:t>in the highest quintile</w:t>
      </w:r>
      <w:r w:rsidR="00744539">
        <w:rPr>
          <w:sz w:val="22"/>
          <w:szCs w:val="22"/>
        </w:rPr>
        <w:t xml:space="preserve"> (most vulnerable)</w:t>
      </w:r>
      <w:r w:rsidR="00BB2FA4">
        <w:rPr>
          <w:sz w:val="22"/>
          <w:szCs w:val="22"/>
        </w:rPr>
        <w:t>, with the</w:t>
      </w:r>
      <w:r w:rsidR="00714EFF">
        <w:rPr>
          <w:sz w:val="22"/>
          <w:szCs w:val="22"/>
        </w:rPr>
        <w:t xml:space="preserve"> Hot Springs-adjacent Washakie C</w:t>
      </w:r>
      <w:r w:rsidR="00BB2FA4">
        <w:rPr>
          <w:sz w:val="22"/>
          <w:szCs w:val="22"/>
        </w:rPr>
        <w:t>ounty ranking in the upper quintile for opio</w:t>
      </w:r>
      <w:r w:rsidR="00714EFF">
        <w:rPr>
          <w:sz w:val="22"/>
          <w:szCs w:val="22"/>
        </w:rPr>
        <w:t>id prescriptions, and Big Horn C</w:t>
      </w:r>
      <w:r w:rsidR="00BB2FA4">
        <w:rPr>
          <w:sz w:val="22"/>
          <w:szCs w:val="22"/>
        </w:rPr>
        <w:t xml:space="preserve">ounty (adjacent to Washakie) ranking in the upper quintile for opioid overdose deaths. Platte </w:t>
      </w:r>
      <w:r w:rsidR="00FD2C49">
        <w:rPr>
          <w:sz w:val="22"/>
          <w:szCs w:val="22"/>
        </w:rPr>
        <w:t>C</w:t>
      </w:r>
      <w:r w:rsidR="00BB2FA4">
        <w:rPr>
          <w:sz w:val="22"/>
          <w:szCs w:val="22"/>
        </w:rPr>
        <w:t xml:space="preserve">ounty, in eastern Wyoming, also ranked in the </w:t>
      </w:r>
      <w:r w:rsidR="005F52E8">
        <w:rPr>
          <w:sz w:val="22"/>
          <w:szCs w:val="22"/>
        </w:rPr>
        <w:t xml:space="preserve">highest </w:t>
      </w:r>
      <w:r w:rsidR="00BB2FA4">
        <w:rPr>
          <w:sz w:val="22"/>
          <w:szCs w:val="22"/>
        </w:rPr>
        <w:t>quintile for opioid overdose deaths</w:t>
      </w:r>
      <w:r w:rsidR="00920C25">
        <w:rPr>
          <w:sz w:val="22"/>
          <w:szCs w:val="22"/>
        </w:rPr>
        <w:t xml:space="preserve">. Counties adjacent to Platte ranked in the highest quintile for drug-related arrests and </w:t>
      </w:r>
      <w:r w:rsidR="002A40B9">
        <w:rPr>
          <w:sz w:val="22"/>
          <w:szCs w:val="22"/>
        </w:rPr>
        <w:t>we</w:t>
      </w:r>
      <w:r w:rsidR="00D43CB0">
        <w:rPr>
          <w:sz w:val="22"/>
          <w:szCs w:val="22"/>
        </w:rPr>
        <w:t xml:space="preserve">re </w:t>
      </w:r>
      <w:r w:rsidR="00920C25">
        <w:rPr>
          <w:sz w:val="22"/>
          <w:szCs w:val="22"/>
        </w:rPr>
        <w:t>located on the state’s primary north-south interstate highway</w:t>
      </w:r>
      <w:r w:rsidR="00D02B5E">
        <w:rPr>
          <w:sz w:val="22"/>
          <w:szCs w:val="22"/>
        </w:rPr>
        <w:t xml:space="preserve"> (Figure 4)</w:t>
      </w:r>
      <w:r w:rsidR="00920C25">
        <w:rPr>
          <w:sz w:val="22"/>
          <w:szCs w:val="22"/>
        </w:rPr>
        <w:t>.</w:t>
      </w:r>
      <w:r w:rsidR="004E6E5A">
        <w:rPr>
          <w:sz w:val="22"/>
          <w:szCs w:val="22"/>
        </w:rPr>
        <w:t xml:space="preserve"> </w:t>
      </w:r>
      <w:r w:rsidR="00920C25">
        <w:rPr>
          <w:sz w:val="22"/>
          <w:szCs w:val="22"/>
        </w:rPr>
        <w:t xml:space="preserve"> </w:t>
      </w:r>
      <w:r w:rsidR="00485AF0" w:rsidRPr="00485AF0">
        <w:rPr>
          <w:noProof/>
        </w:rPr>
        <w:t xml:space="preserve"> </w:t>
      </w:r>
    </w:p>
    <w:p w14:paraId="43EA1D64" w14:textId="478A6D38" w:rsidR="00964D83" w:rsidRPr="000F43B3" w:rsidRDefault="00964D83" w:rsidP="00813B97">
      <w:pPr>
        <w:rPr>
          <w:sz w:val="22"/>
          <w:szCs w:val="22"/>
        </w:rPr>
      </w:pPr>
    </w:p>
    <w:p w14:paraId="64BF38E1" w14:textId="06CDE303" w:rsidR="006E39CC" w:rsidRDefault="006E39CC" w:rsidP="00813B97">
      <w:pPr>
        <w:rPr>
          <w:i/>
          <w:iCs/>
          <w:sz w:val="22"/>
          <w:szCs w:val="22"/>
        </w:rPr>
      </w:pPr>
    </w:p>
    <w:p w14:paraId="74860108" w14:textId="1AE1CD32" w:rsidR="00D02B5E" w:rsidRDefault="00D02B5E" w:rsidP="00813B97">
      <w:pPr>
        <w:rPr>
          <w:sz w:val="22"/>
          <w:szCs w:val="22"/>
        </w:rPr>
      </w:pPr>
      <w:r>
        <w:rPr>
          <w:noProof/>
          <w:sz w:val="22"/>
          <w:szCs w:val="22"/>
        </w:rPr>
        <w:drawing>
          <wp:anchor distT="0" distB="0" distL="114300" distR="114300" simplePos="0" relativeHeight="251692032" behindDoc="1" locked="0" layoutInCell="1" allowOverlap="1" wp14:anchorId="4FC12187" wp14:editId="19CD9268">
            <wp:simplePos x="0" y="0"/>
            <wp:positionH relativeFrom="margin">
              <wp:align>center</wp:align>
            </wp:positionH>
            <wp:positionV relativeFrom="paragraph">
              <wp:posOffset>92075</wp:posOffset>
            </wp:positionV>
            <wp:extent cx="4543425" cy="3507740"/>
            <wp:effectExtent l="19050" t="19050" r="28575" b="165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43425" cy="3507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31BD23D" w14:textId="77777777" w:rsidR="00D02B5E" w:rsidRDefault="00D02B5E" w:rsidP="00813B97">
      <w:pPr>
        <w:rPr>
          <w:sz w:val="22"/>
          <w:szCs w:val="22"/>
        </w:rPr>
      </w:pPr>
    </w:p>
    <w:p w14:paraId="0A364C80" w14:textId="455D4480" w:rsidR="00D02B5E" w:rsidRDefault="00D02B5E" w:rsidP="00813B97">
      <w:pPr>
        <w:rPr>
          <w:sz w:val="22"/>
          <w:szCs w:val="22"/>
        </w:rPr>
      </w:pPr>
    </w:p>
    <w:p w14:paraId="011883EB" w14:textId="77777777" w:rsidR="00D02B5E" w:rsidRDefault="00D02B5E" w:rsidP="00813B97">
      <w:pPr>
        <w:rPr>
          <w:sz w:val="22"/>
          <w:szCs w:val="22"/>
        </w:rPr>
      </w:pPr>
    </w:p>
    <w:p w14:paraId="0E384569" w14:textId="77777777" w:rsidR="00D02B5E" w:rsidRDefault="00D02B5E" w:rsidP="00813B97">
      <w:pPr>
        <w:rPr>
          <w:sz w:val="22"/>
          <w:szCs w:val="22"/>
        </w:rPr>
      </w:pPr>
    </w:p>
    <w:p w14:paraId="5D572254" w14:textId="77777777" w:rsidR="00D02B5E" w:rsidRDefault="00D02B5E" w:rsidP="00813B97">
      <w:pPr>
        <w:rPr>
          <w:sz w:val="22"/>
          <w:szCs w:val="22"/>
        </w:rPr>
      </w:pPr>
    </w:p>
    <w:p w14:paraId="37D77B93" w14:textId="77777777" w:rsidR="00D02B5E" w:rsidRDefault="00D02B5E" w:rsidP="00813B97">
      <w:pPr>
        <w:rPr>
          <w:sz w:val="22"/>
          <w:szCs w:val="22"/>
        </w:rPr>
      </w:pPr>
    </w:p>
    <w:p w14:paraId="53DF11F5" w14:textId="77777777" w:rsidR="00D02B5E" w:rsidRDefault="00D02B5E" w:rsidP="00813B97">
      <w:pPr>
        <w:rPr>
          <w:sz w:val="22"/>
          <w:szCs w:val="22"/>
        </w:rPr>
      </w:pPr>
    </w:p>
    <w:p w14:paraId="77B9E6F1" w14:textId="77777777" w:rsidR="00D02B5E" w:rsidRDefault="00D02B5E" w:rsidP="00813B97">
      <w:pPr>
        <w:rPr>
          <w:sz w:val="22"/>
          <w:szCs w:val="22"/>
        </w:rPr>
      </w:pPr>
    </w:p>
    <w:p w14:paraId="207A5835" w14:textId="77777777" w:rsidR="00D02B5E" w:rsidRDefault="00D02B5E" w:rsidP="00813B97">
      <w:pPr>
        <w:rPr>
          <w:sz w:val="22"/>
          <w:szCs w:val="22"/>
        </w:rPr>
      </w:pPr>
    </w:p>
    <w:p w14:paraId="7EC50F8E" w14:textId="7700CE0C" w:rsidR="00D02B5E" w:rsidRDefault="00865503" w:rsidP="00813B97">
      <w:pPr>
        <w:rPr>
          <w:sz w:val="22"/>
          <w:szCs w:val="22"/>
        </w:rPr>
      </w:pPr>
      <w:r>
        <w:rPr>
          <w:noProof/>
        </w:rPr>
        <mc:AlternateContent>
          <mc:Choice Requires="wps">
            <w:drawing>
              <wp:anchor distT="0" distB="0" distL="114300" distR="114300" simplePos="0" relativeHeight="251668480" behindDoc="1" locked="0" layoutInCell="1" allowOverlap="1" wp14:anchorId="738D4530" wp14:editId="7C4A02A4">
                <wp:simplePos x="0" y="0"/>
                <wp:positionH relativeFrom="margin">
                  <wp:align>center</wp:align>
                </wp:positionH>
                <wp:positionV relativeFrom="paragraph">
                  <wp:posOffset>445626</wp:posOffset>
                </wp:positionV>
                <wp:extent cx="5943600" cy="635"/>
                <wp:effectExtent l="0" t="0" r="0" b="9525"/>
                <wp:wrapTight wrapText="bothSides">
                  <wp:wrapPolygon edited="0">
                    <wp:start x="0" y="0"/>
                    <wp:lineTo x="0" y="20983"/>
                    <wp:lineTo x="21531" y="20983"/>
                    <wp:lineTo x="21531"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674E683" w14:textId="1262FC05" w:rsidR="00E72492" w:rsidRPr="0091564E" w:rsidRDefault="00E72492" w:rsidP="000F43B3">
                            <w:pPr>
                              <w:pStyle w:val="Caption"/>
                              <w:rPr>
                                <w:noProof/>
                              </w:rPr>
                            </w:pPr>
                            <w:r w:rsidRPr="0091564E">
                              <w:t>Figure 3. Number of retail opioid prescriptions dispensed per 100 population, Wyoming,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D4530" id="Text Box 12" o:spid="_x0000_s1027" type="#_x0000_t202" style="position:absolute;margin-left:0;margin-top:35.1pt;width:468pt;height:.05pt;z-index:-2516480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" stroked="f">
                <v:textbox style="mso-fit-shape-to-text:t" inset="0,0,0,0">
                  <w:txbxContent>
                    <w:p w14:paraId="2674E683" w14:textId="1262FC05" w:rsidR="00E72492" w:rsidRPr="0091564E" w:rsidRDefault="00E72492" w:rsidP="000F43B3">
                      <w:pPr>
                        <w:pStyle w:val="Caption"/>
                        <w:rPr>
                          <w:noProof/>
                        </w:rPr>
                      </w:pPr>
                      <w:r w:rsidRPr="0091564E">
                        <w:t>Figure 3. Number of retail opioid prescriptions dispensed per 100 population, Wyoming, 2018.</w:t>
                      </w:r>
                    </w:p>
                  </w:txbxContent>
                </v:textbox>
                <w10:wrap type="tight" anchorx="margin"/>
              </v:shape>
            </w:pict>
          </mc:Fallback>
        </mc:AlternateContent>
      </w:r>
    </w:p>
    <w:p w14:paraId="7790661B" w14:textId="5F2659B3" w:rsidR="00D02B5E" w:rsidRDefault="00865503" w:rsidP="00813B97">
      <w:pPr>
        <w:rPr>
          <w:sz w:val="22"/>
          <w:szCs w:val="22"/>
        </w:rPr>
      </w:pPr>
      <w:r>
        <w:rPr>
          <w:noProof/>
          <w:sz w:val="22"/>
          <w:szCs w:val="22"/>
        </w:rPr>
        <w:drawing>
          <wp:anchor distT="0" distB="0" distL="114300" distR="114300" simplePos="0" relativeHeight="251693056" behindDoc="1" locked="0" layoutInCell="1" allowOverlap="1" wp14:anchorId="49D82944" wp14:editId="5ADEF368">
            <wp:simplePos x="0" y="0"/>
            <wp:positionH relativeFrom="margin">
              <wp:align>center</wp:align>
            </wp:positionH>
            <wp:positionV relativeFrom="paragraph">
              <wp:posOffset>671830</wp:posOffset>
            </wp:positionV>
            <wp:extent cx="4544139" cy="3511296"/>
            <wp:effectExtent l="19050" t="19050" r="27940" b="13335"/>
            <wp:wrapTight wrapText="bothSides">
              <wp:wrapPolygon edited="0">
                <wp:start x="-91" y="-117"/>
                <wp:lineTo x="-91" y="21565"/>
                <wp:lineTo x="21642" y="21565"/>
                <wp:lineTo x="21642" y="-117"/>
                <wp:lineTo x="-91" y="-117"/>
              </wp:wrapPolygon>
            </wp:wrapTight>
            <wp:docPr id="22" name="Picture 2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44139" cy="351129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A43966C" w14:textId="6978ECEE" w:rsidR="00D02B5E" w:rsidRDefault="00D02B5E" w:rsidP="00813B97">
      <w:pPr>
        <w:rPr>
          <w:sz w:val="22"/>
          <w:szCs w:val="22"/>
        </w:rPr>
      </w:pPr>
    </w:p>
    <w:p w14:paraId="16194F1D" w14:textId="79EDCA47" w:rsidR="00D02B5E" w:rsidRDefault="00D02B5E" w:rsidP="00813B97">
      <w:pPr>
        <w:rPr>
          <w:sz w:val="22"/>
          <w:szCs w:val="22"/>
        </w:rPr>
      </w:pPr>
    </w:p>
    <w:p w14:paraId="73217D49" w14:textId="5DA5CEF0" w:rsidR="00D02B5E" w:rsidRDefault="00D02B5E" w:rsidP="00813B97">
      <w:pPr>
        <w:rPr>
          <w:sz w:val="22"/>
          <w:szCs w:val="22"/>
        </w:rPr>
      </w:pPr>
    </w:p>
    <w:p w14:paraId="46EF92A6" w14:textId="72B7853C" w:rsidR="00D02B5E" w:rsidRDefault="00D02B5E" w:rsidP="00813B97">
      <w:pPr>
        <w:rPr>
          <w:sz w:val="22"/>
          <w:szCs w:val="22"/>
        </w:rPr>
      </w:pPr>
    </w:p>
    <w:p w14:paraId="0FD6109F" w14:textId="397132AB" w:rsidR="00D02B5E" w:rsidRDefault="00D02B5E" w:rsidP="00813B97">
      <w:pPr>
        <w:rPr>
          <w:sz w:val="22"/>
          <w:szCs w:val="22"/>
        </w:rPr>
      </w:pPr>
    </w:p>
    <w:p w14:paraId="4CF9C8D0" w14:textId="0C4BDA5D" w:rsidR="00D02B5E" w:rsidRDefault="00D02B5E" w:rsidP="00813B97">
      <w:pPr>
        <w:rPr>
          <w:sz w:val="22"/>
          <w:szCs w:val="22"/>
        </w:rPr>
      </w:pPr>
    </w:p>
    <w:p w14:paraId="7E18B9FC" w14:textId="09074D31" w:rsidR="00D02B5E" w:rsidRPr="000F43B3" w:rsidRDefault="00D02B5E" w:rsidP="00813B97">
      <w:pPr>
        <w:rPr>
          <w:sz w:val="22"/>
          <w:szCs w:val="22"/>
        </w:rPr>
      </w:pPr>
    </w:p>
    <w:p w14:paraId="2317A91A" w14:textId="0726DA64" w:rsidR="006E39CC" w:rsidRDefault="006E39CC" w:rsidP="00813B97">
      <w:pPr>
        <w:rPr>
          <w:i/>
          <w:iCs/>
          <w:sz w:val="22"/>
          <w:szCs w:val="22"/>
        </w:rPr>
      </w:pPr>
    </w:p>
    <w:p w14:paraId="076A2702" w14:textId="21B3DABC" w:rsidR="006E39CC" w:rsidRDefault="006E39CC" w:rsidP="00813B97">
      <w:pPr>
        <w:rPr>
          <w:i/>
          <w:iCs/>
          <w:sz w:val="22"/>
          <w:szCs w:val="22"/>
        </w:rPr>
      </w:pPr>
    </w:p>
    <w:p w14:paraId="17C57893" w14:textId="21B8C57F" w:rsidR="00E4028A" w:rsidRDefault="00E4028A" w:rsidP="00813B97">
      <w:pPr>
        <w:rPr>
          <w:sz w:val="22"/>
          <w:szCs w:val="22"/>
        </w:rPr>
      </w:pPr>
    </w:p>
    <w:p w14:paraId="26AC3EAB" w14:textId="442D6AC9" w:rsidR="006E39CC" w:rsidRDefault="00900300" w:rsidP="00813B97">
      <w:pPr>
        <w:rPr>
          <w:i/>
          <w:iCs/>
          <w:sz w:val="22"/>
          <w:szCs w:val="22"/>
        </w:rPr>
      </w:pPr>
      <w:r>
        <w:rPr>
          <w:noProof/>
        </w:rPr>
        <mc:AlternateContent>
          <mc:Choice Requires="wps">
            <w:drawing>
              <wp:anchor distT="0" distB="0" distL="114300" distR="114300" simplePos="0" relativeHeight="251696128" behindDoc="1" locked="0" layoutInCell="1" allowOverlap="1" wp14:anchorId="2A652666" wp14:editId="5CFC3941">
                <wp:simplePos x="0" y="0"/>
                <wp:positionH relativeFrom="margin">
                  <wp:align>left</wp:align>
                </wp:positionH>
                <wp:positionV relativeFrom="paragraph">
                  <wp:posOffset>219710</wp:posOffset>
                </wp:positionV>
                <wp:extent cx="5534025" cy="635"/>
                <wp:effectExtent l="0" t="0" r="9525" b="0"/>
                <wp:wrapTight wrapText="bothSides">
                  <wp:wrapPolygon edited="0">
                    <wp:start x="0" y="0"/>
                    <wp:lineTo x="0" y="20217"/>
                    <wp:lineTo x="21563" y="20217"/>
                    <wp:lineTo x="21563"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5534025" cy="635"/>
                        </a:xfrm>
                        <a:prstGeom prst="rect">
                          <a:avLst/>
                        </a:prstGeom>
                        <a:solidFill>
                          <a:prstClr val="white"/>
                        </a:solidFill>
                        <a:ln>
                          <a:noFill/>
                        </a:ln>
                      </wps:spPr>
                      <wps:txbx>
                        <w:txbxContent>
                          <w:p w14:paraId="0CB54F89" w14:textId="7A6B05E2" w:rsidR="00E72492" w:rsidRPr="0091564E" w:rsidRDefault="00E72492" w:rsidP="000F43B3">
                            <w:pPr>
                              <w:pStyle w:val="Caption"/>
                              <w:rPr>
                                <w:noProof/>
                              </w:rPr>
                            </w:pPr>
                            <w:r w:rsidRPr="0091564E">
                              <w:t>Figure 4</w:t>
                            </w:r>
                            <w:r w:rsidRPr="0091564E">
                              <w:rPr>
                                <w:noProof/>
                              </w:rPr>
                              <w:t>. Drug-related arrest rate per 100,000 population, Wyoming, 2016-2019.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652666" id="Text Box 31" o:spid="_x0000_s1028" type="#_x0000_t202" style="position:absolute;margin-left:0;margin-top:17.3pt;width:435.75pt;height:.05pt;z-index:-251620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2OGgIAAD8EAAAOAAAAZHJzL2Uyb0RvYy54bWysU8Fu2zAMvQ/YPwi6L07SpRi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" stroked="f">
                <v:textbox style="mso-fit-shape-to-text:t" inset="0,0,0,0">
                  <w:txbxContent>
                    <w:p w14:paraId="0CB54F89" w14:textId="7A6B05E2" w:rsidR="00E72492" w:rsidRPr="0091564E" w:rsidRDefault="00E72492" w:rsidP="000F43B3">
                      <w:pPr>
                        <w:pStyle w:val="Caption"/>
                        <w:rPr>
                          <w:noProof/>
                        </w:rPr>
                      </w:pPr>
                      <w:r w:rsidRPr="0091564E">
                        <w:t>Figure 4</w:t>
                      </w:r>
                      <w:r w:rsidRPr="0091564E">
                        <w:rPr>
                          <w:noProof/>
                        </w:rPr>
                        <w:t>. Drug-related arrest rate per 100,000 population, Wyoming, 2016-2019.</w:t>
                      </w:r>
                    </w:p>
                  </w:txbxContent>
                </v:textbox>
                <w10:wrap type="tight" anchorx="margin"/>
              </v:shape>
            </w:pict>
          </mc:Fallback>
        </mc:AlternateContent>
      </w:r>
    </w:p>
    <w:p w14:paraId="747285FE" w14:textId="61E909E4" w:rsidR="00D02B5E" w:rsidRDefault="00D02B5E" w:rsidP="00813B97">
      <w:pPr>
        <w:rPr>
          <w:i/>
          <w:iCs/>
          <w:sz w:val="22"/>
          <w:szCs w:val="22"/>
        </w:rPr>
      </w:pPr>
    </w:p>
    <w:p w14:paraId="277FC1D9" w14:textId="7C4917AC" w:rsidR="00F83382" w:rsidRDefault="004E6E5A" w:rsidP="00813B97">
      <w:pPr>
        <w:rPr>
          <w:sz w:val="22"/>
          <w:szCs w:val="22"/>
        </w:rPr>
      </w:pPr>
      <w:r w:rsidRPr="00E8404A">
        <w:rPr>
          <w:i/>
          <w:iCs/>
          <w:sz w:val="22"/>
          <w:szCs w:val="22"/>
        </w:rPr>
        <w:t>Covariates.</w:t>
      </w:r>
      <w:r>
        <w:rPr>
          <w:sz w:val="22"/>
          <w:szCs w:val="22"/>
        </w:rPr>
        <w:t xml:space="preserve"> </w:t>
      </w:r>
      <w:r w:rsidR="00900300">
        <w:rPr>
          <w:sz w:val="22"/>
          <w:szCs w:val="22"/>
        </w:rPr>
        <w:t xml:space="preserve">We created maps for twelve covariates that are commonly associated with opioid-related outcomes in the scientific literature. </w:t>
      </w:r>
      <w:r w:rsidR="003C2CE4">
        <w:rPr>
          <w:sz w:val="22"/>
          <w:szCs w:val="22"/>
        </w:rPr>
        <w:t>T</w:t>
      </w:r>
      <w:r w:rsidR="00C20724">
        <w:rPr>
          <w:sz w:val="22"/>
          <w:szCs w:val="22"/>
        </w:rPr>
        <w:t>wo</w:t>
      </w:r>
      <w:r w:rsidR="003C2CE4">
        <w:rPr>
          <w:sz w:val="22"/>
          <w:szCs w:val="22"/>
        </w:rPr>
        <w:t xml:space="preserve"> counties</w:t>
      </w:r>
      <w:r w:rsidR="00376760">
        <w:rPr>
          <w:sz w:val="22"/>
          <w:szCs w:val="22"/>
        </w:rPr>
        <w:t xml:space="preserve"> most vulnerable to opioid-related mortality,</w:t>
      </w:r>
      <w:r w:rsidR="003C2CE4">
        <w:rPr>
          <w:sz w:val="22"/>
          <w:szCs w:val="22"/>
        </w:rPr>
        <w:t xml:space="preserve"> </w:t>
      </w:r>
      <w:r w:rsidR="00A54915">
        <w:rPr>
          <w:sz w:val="22"/>
          <w:szCs w:val="22"/>
        </w:rPr>
        <w:t>Hot Springs and Sweetwater</w:t>
      </w:r>
      <w:r w:rsidR="003C2CE4">
        <w:rPr>
          <w:sz w:val="22"/>
          <w:szCs w:val="22"/>
        </w:rPr>
        <w:t xml:space="preserve">, </w:t>
      </w:r>
      <w:r w:rsidR="00376760">
        <w:rPr>
          <w:sz w:val="22"/>
          <w:szCs w:val="22"/>
        </w:rPr>
        <w:t xml:space="preserve">also had </w:t>
      </w:r>
      <w:r w:rsidR="00A54915">
        <w:rPr>
          <w:sz w:val="22"/>
          <w:szCs w:val="22"/>
        </w:rPr>
        <w:t xml:space="preserve">among </w:t>
      </w:r>
      <w:r w:rsidR="00376760">
        <w:rPr>
          <w:sz w:val="22"/>
          <w:szCs w:val="22"/>
        </w:rPr>
        <w:t>the highest rates</w:t>
      </w:r>
      <w:r w:rsidR="003C2CE4">
        <w:rPr>
          <w:sz w:val="22"/>
          <w:szCs w:val="22"/>
        </w:rPr>
        <w:t xml:space="preserve"> </w:t>
      </w:r>
      <w:r w:rsidR="00376760">
        <w:rPr>
          <w:sz w:val="22"/>
          <w:szCs w:val="22"/>
        </w:rPr>
        <w:t>of n</w:t>
      </w:r>
      <w:r w:rsidR="003C2CE4">
        <w:rPr>
          <w:sz w:val="22"/>
          <w:szCs w:val="22"/>
        </w:rPr>
        <w:t>on-fatal drug p</w:t>
      </w:r>
      <w:r w:rsidR="008963EE">
        <w:rPr>
          <w:sz w:val="22"/>
          <w:szCs w:val="22"/>
        </w:rPr>
        <w:t xml:space="preserve">oisoning Emergency Room visits (for </w:t>
      </w:r>
      <w:r w:rsidR="003C2CE4">
        <w:rPr>
          <w:sz w:val="22"/>
          <w:szCs w:val="22"/>
        </w:rPr>
        <w:t>both all</w:t>
      </w:r>
      <w:r w:rsidR="008963EE">
        <w:rPr>
          <w:sz w:val="22"/>
          <w:szCs w:val="22"/>
        </w:rPr>
        <w:t xml:space="preserve"> drugs and opioids specifically)</w:t>
      </w:r>
      <w:r w:rsidR="00A24C08">
        <w:rPr>
          <w:sz w:val="22"/>
          <w:szCs w:val="22"/>
        </w:rPr>
        <w:t xml:space="preserve"> (Figure</w:t>
      </w:r>
      <w:r w:rsidR="00A54915">
        <w:rPr>
          <w:sz w:val="22"/>
          <w:szCs w:val="22"/>
        </w:rPr>
        <w:t>s</w:t>
      </w:r>
      <w:r w:rsidR="00A24C08">
        <w:rPr>
          <w:sz w:val="22"/>
          <w:szCs w:val="22"/>
        </w:rPr>
        <w:t xml:space="preserve"> </w:t>
      </w:r>
      <w:r w:rsidR="00C20724">
        <w:rPr>
          <w:sz w:val="22"/>
          <w:szCs w:val="22"/>
        </w:rPr>
        <w:t>5</w:t>
      </w:r>
      <w:r w:rsidR="00A54915">
        <w:rPr>
          <w:sz w:val="22"/>
          <w:szCs w:val="22"/>
        </w:rPr>
        <w:t xml:space="preserve"> and 6</w:t>
      </w:r>
      <w:r w:rsidR="00A24C08">
        <w:rPr>
          <w:sz w:val="22"/>
          <w:szCs w:val="22"/>
        </w:rPr>
        <w:t>.)</w:t>
      </w:r>
      <w:r w:rsidR="003C2CE4">
        <w:rPr>
          <w:sz w:val="22"/>
          <w:szCs w:val="22"/>
        </w:rPr>
        <w:t xml:space="preserve">. </w:t>
      </w:r>
      <w:r w:rsidR="00A54915">
        <w:rPr>
          <w:sz w:val="22"/>
          <w:szCs w:val="22"/>
        </w:rPr>
        <w:t xml:space="preserve">Among other counties that ranked in the upper quintile for non-fatal drug overdose, </w:t>
      </w:r>
      <w:r w:rsidR="003C2CE4">
        <w:rPr>
          <w:sz w:val="22"/>
          <w:szCs w:val="22"/>
        </w:rPr>
        <w:t xml:space="preserve">Washakie </w:t>
      </w:r>
      <w:r w:rsidR="00A54915">
        <w:rPr>
          <w:sz w:val="22"/>
          <w:szCs w:val="22"/>
        </w:rPr>
        <w:t>C</w:t>
      </w:r>
      <w:r w:rsidR="003C2CE4">
        <w:rPr>
          <w:sz w:val="22"/>
          <w:szCs w:val="22"/>
        </w:rPr>
        <w:t xml:space="preserve">ounty also </w:t>
      </w:r>
      <w:r w:rsidR="00376760">
        <w:rPr>
          <w:sz w:val="22"/>
          <w:szCs w:val="22"/>
        </w:rPr>
        <w:t xml:space="preserve">had high </w:t>
      </w:r>
      <w:r w:rsidR="00A54915">
        <w:rPr>
          <w:sz w:val="22"/>
          <w:szCs w:val="22"/>
        </w:rPr>
        <w:t>rates of residents</w:t>
      </w:r>
      <w:r w:rsidR="003C2CE4">
        <w:rPr>
          <w:sz w:val="22"/>
          <w:szCs w:val="22"/>
        </w:rPr>
        <w:t xml:space="preserve"> who </w:t>
      </w:r>
      <w:r w:rsidR="00A84D85">
        <w:rPr>
          <w:sz w:val="22"/>
          <w:szCs w:val="22"/>
        </w:rPr>
        <w:t>we</w:t>
      </w:r>
      <w:r w:rsidR="003C2CE4">
        <w:rPr>
          <w:sz w:val="22"/>
          <w:szCs w:val="22"/>
        </w:rPr>
        <w:t xml:space="preserve">re </w:t>
      </w:r>
      <w:r w:rsidR="00A54915">
        <w:rPr>
          <w:sz w:val="22"/>
          <w:szCs w:val="22"/>
        </w:rPr>
        <w:t xml:space="preserve">unemployed and </w:t>
      </w:r>
      <w:r w:rsidR="003C2CE4">
        <w:rPr>
          <w:sz w:val="22"/>
          <w:szCs w:val="22"/>
        </w:rPr>
        <w:t>uninsured</w:t>
      </w:r>
      <w:r w:rsidR="00A54915">
        <w:rPr>
          <w:sz w:val="22"/>
          <w:szCs w:val="22"/>
        </w:rPr>
        <w:t xml:space="preserve"> and</w:t>
      </w:r>
      <w:r w:rsidR="003C2CE4">
        <w:rPr>
          <w:sz w:val="22"/>
          <w:szCs w:val="22"/>
        </w:rPr>
        <w:t xml:space="preserve"> Uinta </w:t>
      </w:r>
      <w:r w:rsidR="00A84D85">
        <w:rPr>
          <w:sz w:val="22"/>
          <w:szCs w:val="22"/>
        </w:rPr>
        <w:t>C</w:t>
      </w:r>
      <w:r w:rsidR="003C2CE4">
        <w:rPr>
          <w:sz w:val="22"/>
          <w:szCs w:val="22"/>
        </w:rPr>
        <w:t>ounty ranked in the upper quintile for percent of residents with a disa</w:t>
      </w:r>
      <w:r w:rsidR="008963EE">
        <w:rPr>
          <w:sz w:val="22"/>
          <w:szCs w:val="22"/>
        </w:rPr>
        <w:t xml:space="preserve">bility and percent unemployed. </w:t>
      </w:r>
      <w:r w:rsidR="003C2CE4">
        <w:rPr>
          <w:sz w:val="22"/>
          <w:szCs w:val="22"/>
        </w:rPr>
        <w:t>Although arrests involving alcohol and involving meth</w:t>
      </w:r>
      <w:r w:rsidR="0084637D">
        <w:rPr>
          <w:sz w:val="22"/>
          <w:szCs w:val="22"/>
        </w:rPr>
        <w:t>amphetamine</w:t>
      </w:r>
      <w:r w:rsidR="003C2CE4">
        <w:rPr>
          <w:sz w:val="22"/>
          <w:szCs w:val="22"/>
        </w:rPr>
        <w:t xml:space="preserve"> were not included in the weighted rank analysis</w:t>
      </w:r>
      <w:r w:rsidR="0084637D">
        <w:rPr>
          <w:sz w:val="22"/>
          <w:szCs w:val="22"/>
        </w:rPr>
        <w:t xml:space="preserve">, maps for this measure depicted Hot Springs </w:t>
      </w:r>
      <w:r w:rsidR="00A84D85">
        <w:rPr>
          <w:sz w:val="22"/>
          <w:szCs w:val="22"/>
        </w:rPr>
        <w:t>C</w:t>
      </w:r>
      <w:r w:rsidR="0084637D">
        <w:rPr>
          <w:sz w:val="22"/>
          <w:szCs w:val="22"/>
        </w:rPr>
        <w:t>ounty in the upper quintile</w:t>
      </w:r>
      <w:r w:rsidR="00A54915">
        <w:rPr>
          <w:sz w:val="22"/>
          <w:szCs w:val="22"/>
        </w:rPr>
        <w:t xml:space="preserve"> (</w:t>
      </w:r>
      <w:r w:rsidR="00A92DB8">
        <w:rPr>
          <w:sz w:val="22"/>
          <w:szCs w:val="22"/>
        </w:rPr>
        <w:t xml:space="preserve">See </w:t>
      </w:r>
      <w:r w:rsidR="00A54915" w:rsidRPr="00A83105">
        <w:rPr>
          <w:sz w:val="22"/>
          <w:szCs w:val="22"/>
        </w:rPr>
        <w:t>Appendix</w:t>
      </w:r>
      <w:r w:rsidR="00A54915">
        <w:rPr>
          <w:sz w:val="22"/>
          <w:szCs w:val="22"/>
        </w:rPr>
        <w:t>)</w:t>
      </w:r>
      <w:r w:rsidR="0084637D">
        <w:rPr>
          <w:sz w:val="22"/>
          <w:szCs w:val="22"/>
        </w:rPr>
        <w:t xml:space="preserve">. </w:t>
      </w:r>
      <w:r w:rsidR="004F29BB">
        <w:rPr>
          <w:sz w:val="22"/>
          <w:szCs w:val="22"/>
        </w:rPr>
        <w:t xml:space="preserve">A </w:t>
      </w:r>
      <w:r w:rsidR="00964D83">
        <w:rPr>
          <w:sz w:val="22"/>
          <w:szCs w:val="22"/>
        </w:rPr>
        <w:t>m</w:t>
      </w:r>
      <w:r w:rsidR="0084637D">
        <w:rPr>
          <w:sz w:val="22"/>
          <w:szCs w:val="22"/>
        </w:rPr>
        <w:t xml:space="preserve">ap of prevalence of people living with HIV </w:t>
      </w:r>
      <w:r w:rsidR="004F29BB">
        <w:rPr>
          <w:sz w:val="22"/>
          <w:szCs w:val="22"/>
        </w:rPr>
        <w:t xml:space="preserve">indicated </w:t>
      </w:r>
      <w:r w:rsidR="0084637D">
        <w:rPr>
          <w:sz w:val="22"/>
          <w:szCs w:val="22"/>
        </w:rPr>
        <w:t>that Hot Springs and Washakie, counties with high rates of opioid prescription and opioid overdose deaths, were in the bottom quintile for HIV prevalence</w:t>
      </w:r>
      <w:r w:rsidR="00A54915">
        <w:rPr>
          <w:sz w:val="22"/>
          <w:szCs w:val="22"/>
        </w:rPr>
        <w:t xml:space="preserve"> (</w:t>
      </w:r>
      <w:r w:rsidR="00A92DB8">
        <w:rPr>
          <w:sz w:val="22"/>
          <w:szCs w:val="22"/>
        </w:rPr>
        <w:t xml:space="preserve">See </w:t>
      </w:r>
      <w:r w:rsidR="00A54915" w:rsidRPr="00A83105">
        <w:rPr>
          <w:sz w:val="22"/>
          <w:szCs w:val="22"/>
        </w:rPr>
        <w:t>Appendix</w:t>
      </w:r>
      <w:r w:rsidR="00A54915">
        <w:rPr>
          <w:sz w:val="22"/>
          <w:szCs w:val="22"/>
        </w:rPr>
        <w:t>)</w:t>
      </w:r>
      <w:r w:rsidR="0084637D">
        <w:rPr>
          <w:sz w:val="22"/>
          <w:szCs w:val="22"/>
        </w:rPr>
        <w:t xml:space="preserve">. </w:t>
      </w:r>
    </w:p>
    <w:p w14:paraId="0522253C" w14:textId="510EDF8A" w:rsidR="00A24C08" w:rsidRDefault="00D02B5E" w:rsidP="00813B97">
      <w:pPr>
        <w:rPr>
          <w:b/>
          <w:bCs/>
          <w:sz w:val="22"/>
          <w:szCs w:val="22"/>
        </w:rPr>
      </w:pPr>
      <w:r w:rsidRPr="0084637D">
        <w:rPr>
          <w:b/>
          <w:bCs/>
          <w:noProof/>
          <w:sz w:val="22"/>
          <w:szCs w:val="22"/>
        </w:rPr>
        <w:drawing>
          <wp:anchor distT="0" distB="0" distL="114300" distR="114300" simplePos="0" relativeHeight="251658240" behindDoc="1" locked="0" layoutInCell="1" allowOverlap="1" wp14:anchorId="05554BCD" wp14:editId="46C1CB7A">
            <wp:simplePos x="0" y="0"/>
            <wp:positionH relativeFrom="margin">
              <wp:align>center</wp:align>
            </wp:positionH>
            <wp:positionV relativeFrom="paragraph">
              <wp:posOffset>30480</wp:posOffset>
            </wp:positionV>
            <wp:extent cx="4543425" cy="3510915"/>
            <wp:effectExtent l="19050" t="19050" r="28575" b="13335"/>
            <wp:wrapTight wrapText="bothSides">
              <wp:wrapPolygon edited="0">
                <wp:start x="-91" y="-117"/>
                <wp:lineTo x="-91" y="21565"/>
                <wp:lineTo x="21645" y="21565"/>
                <wp:lineTo x="21645" y="-117"/>
                <wp:lineTo x="-91" y="-11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44029" cy="3511296"/>
                    </a:xfrm>
                    <a:prstGeom prst="rect">
                      <a:avLst/>
                    </a:prstGeom>
                    <a:ln w="3175">
                      <a:solidFill>
                        <a:schemeClr val="accent3"/>
                      </a:solidFill>
                    </a:ln>
                  </pic:spPr>
                </pic:pic>
              </a:graphicData>
            </a:graphic>
            <wp14:sizeRelH relativeFrom="page">
              <wp14:pctWidth>0</wp14:pctWidth>
            </wp14:sizeRelH>
            <wp14:sizeRelV relativeFrom="page">
              <wp14:pctHeight>0</wp14:pctHeight>
            </wp14:sizeRelV>
          </wp:anchor>
        </w:drawing>
      </w:r>
    </w:p>
    <w:p w14:paraId="7846998D" w14:textId="53410CC5" w:rsidR="00E4028A" w:rsidRDefault="00E4028A" w:rsidP="00813B97">
      <w:pPr>
        <w:rPr>
          <w:b/>
          <w:bCs/>
          <w:sz w:val="22"/>
          <w:szCs w:val="22"/>
        </w:rPr>
      </w:pPr>
    </w:p>
    <w:p w14:paraId="3E33951B" w14:textId="77334641" w:rsidR="00E4028A" w:rsidRDefault="00E4028A" w:rsidP="00813B97">
      <w:pPr>
        <w:rPr>
          <w:b/>
          <w:bCs/>
          <w:sz w:val="22"/>
          <w:szCs w:val="22"/>
        </w:rPr>
      </w:pPr>
    </w:p>
    <w:p w14:paraId="06411D14" w14:textId="7B904E41" w:rsidR="00E4028A" w:rsidRDefault="00E4028A" w:rsidP="00813B97">
      <w:pPr>
        <w:rPr>
          <w:b/>
          <w:bCs/>
          <w:sz w:val="22"/>
          <w:szCs w:val="22"/>
        </w:rPr>
      </w:pPr>
    </w:p>
    <w:p w14:paraId="63BA8F38" w14:textId="77777777" w:rsidR="00E4028A" w:rsidRDefault="00E4028A" w:rsidP="00813B97">
      <w:pPr>
        <w:rPr>
          <w:b/>
          <w:bCs/>
          <w:sz w:val="22"/>
          <w:szCs w:val="22"/>
        </w:rPr>
      </w:pPr>
    </w:p>
    <w:p w14:paraId="54B336BC" w14:textId="77777777" w:rsidR="00E4028A" w:rsidRDefault="00E4028A" w:rsidP="00813B97">
      <w:pPr>
        <w:rPr>
          <w:b/>
          <w:bCs/>
          <w:sz w:val="22"/>
          <w:szCs w:val="22"/>
        </w:rPr>
      </w:pPr>
    </w:p>
    <w:p w14:paraId="2A92F754" w14:textId="77777777" w:rsidR="00E4028A" w:rsidRDefault="00E4028A" w:rsidP="00813B97">
      <w:pPr>
        <w:rPr>
          <w:b/>
          <w:bCs/>
          <w:sz w:val="22"/>
          <w:szCs w:val="22"/>
        </w:rPr>
      </w:pPr>
    </w:p>
    <w:p w14:paraId="6BC64CA2" w14:textId="77777777" w:rsidR="00E4028A" w:rsidRDefault="00E4028A" w:rsidP="00813B97">
      <w:pPr>
        <w:rPr>
          <w:b/>
          <w:bCs/>
          <w:sz w:val="22"/>
          <w:szCs w:val="22"/>
        </w:rPr>
      </w:pPr>
    </w:p>
    <w:p w14:paraId="34A7533C" w14:textId="77777777" w:rsidR="00E4028A" w:rsidRDefault="00E4028A" w:rsidP="00813B97">
      <w:pPr>
        <w:rPr>
          <w:b/>
          <w:bCs/>
          <w:sz w:val="22"/>
          <w:szCs w:val="22"/>
        </w:rPr>
      </w:pPr>
    </w:p>
    <w:p w14:paraId="7DD3574E" w14:textId="77777777" w:rsidR="00E4028A" w:rsidRDefault="00E4028A" w:rsidP="00813B97">
      <w:pPr>
        <w:rPr>
          <w:b/>
          <w:bCs/>
          <w:sz w:val="22"/>
          <w:szCs w:val="22"/>
        </w:rPr>
      </w:pPr>
    </w:p>
    <w:p w14:paraId="56B77239" w14:textId="007D2B8C" w:rsidR="00E4028A" w:rsidRPr="0091564E" w:rsidRDefault="000A25DA" w:rsidP="00813B97">
      <w:pPr>
        <w:rPr>
          <w:b/>
          <w:bCs/>
          <w:sz w:val="16"/>
          <w:szCs w:val="16"/>
        </w:rPr>
      </w:pPr>
      <w:r w:rsidRPr="0091564E">
        <w:rPr>
          <w:noProof/>
          <w:sz w:val="16"/>
          <w:szCs w:val="16"/>
        </w:rPr>
        <mc:AlternateContent>
          <mc:Choice Requires="wps">
            <w:drawing>
              <wp:anchor distT="0" distB="0" distL="114300" distR="114300" simplePos="0" relativeHeight="251698176" behindDoc="1" locked="0" layoutInCell="1" allowOverlap="1" wp14:anchorId="0C0BCFB5" wp14:editId="1D27B434">
                <wp:simplePos x="0" y="0"/>
                <wp:positionH relativeFrom="column">
                  <wp:posOffset>-191135</wp:posOffset>
                </wp:positionH>
                <wp:positionV relativeFrom="paragraph">
                  <wp:posOffset>313055</wp:posOffset>
                </wp:positionV>
                <wp:extent cx="6657975" cy="635"/>
                <wp:effectExtent l="0" t="0" r="9525" b="0"/>
                <wp:wrapTight wrapText="bothSides">
                  <wp:wrapPolygon edited="0">
                    <wp:start x="0" y="0"/>
                    <wp:lineTo x="0" y="20217"/>
                    <wp:lineTo x="21569" y="20217"/>
                    <wp:lineTo x="21569"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6657975" cy="635"/>
                        </a:xfrm>
                        <a:prstGeom prst="rect">
                          <a:avLst/>
                        </a:prstGeom>
                        <a:solidFill>
                          <a:prstClr val="white"/>
                        </a:solidFill>
                        <a:ln>
                          <a:noFill/>
                        </a:ln>
                      </wps:spPr>
                      <wps:txbx>
                        <w:txbxContent>
                          <w:p w14:paraId="118823EE" w14:textId="2BB5FF7C" w:rsidR="00E72492" w:rsidRPr="0091564E" w:rsidRDefault="00E72492" w:rsidP="000F43B3">
                            <w:pPr>
                              <w:pStyle w:val="Caption"/>
                              <w:rPr>
                                <w:b w:val="0"/>
                                <w:bCs w:val="0"/>
                                <w:noProof/>
                              </w:rPr>
                            </w:pPr>
                            <w:r w:rsidRPr="0091564E">
                              <w:t>Figure 5. Non-fatal opioid-related drug poisoning ER visit rates per 100,000 population, Wyoming, 2016-2018.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BCFB5" id="Text Box 32" o:spid="_x0000_s1029" type="#_x0000_t202" style="position:absolute;margin-left:-15.05pt;margin-top:24.65pt;width:524.25pt;height:.0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" stroked="f">
                <v:textbox style="mso-fit-shape-to-text:t" inset="0,0,0,0">
                  <w:txbxContent>
                    <w:p w14:paraId="118823EE" w14:textId="2BB5FF7C" w:rsidR="00E72492" w:rsidRPr="0091564E" w:rsidRDefault="00E72492" w:rsidP="000F43B3">
                      <w:pPr>
                        <w:pStyle w:val="Caption"/>
                        <w:rPr>
                          <w:b w:val="0"/>
                          <w:bCs w:val="0"/>
                          <w:noProof/>
                        </w:rPr>
                      </w:pPr>
                      <w:r w:rsidRPr="0091564E">
                        <w:t>Figure 5. Non-fatal opioid-related drug poisoning ER visit rates per 100,000 population, Wyoming, 2016-2018.</w:t>
                      </w:r>
                    </w:p>
                  </w:txbxContent>
                </v:textbox>
                <w10:wrap type="tight"/>
              </v:shape>
            </w:pict>
          </mc:Fallback>
        </mc:AlternateContent>
      </w:r>
    </w:p>
    <w:p w14:paraId="33FFAADE" w14:textId="5F2DF0D6" w:rsidR="00E4028A" w:rsidRDefault="00E4028A" w:rsidP="00813B97">
      <w:pPr>
        <w:rPr>
          <w:b/>
          <w:bCs/>
          <w:sz w:val="22"/>
          <w:szCs w:val="22"/>
        </w:rPr>
      </w:pPr>
    </w:p>
    <w:p w14:paraId="39B8F971" w14:textId="32A2532F" w:rsidR="00E4028A" w:rsidRDefault="00E4028A" w:rsidP="00813B97">
      <w:pPr>
        <w:rPr>
          <w:b/>
          <w:bCs/>
          <w:sz w:val="22"/>
          <w:szCs w:val="22"/>
        </w:rPr>
      </w:pPr>
    </w:p>
    <w:p w14:paraId="08CFB05E" w14:textId="77777777" w:rsidR="00E4028A" w:rsidRDefault="00E4028A" w:rsidP="00813B97">
      <w:pPr>
        <w:rPr>
          <w:b/>
          <w:bCs/>
          <w:sz w:val="22"/>
          <w:szCs w:val="22"/>
        </w:rPr>
      </w:pPr>
    </w:p>
    <w:p w14:paraId="7DC84004" w14:textId="77777777" w:rsidR="00E4028A" w:rsidRDefault="00E4028A" w:rsidP="00813B97">
      <w:pPr>
        <w:rPr>
          <w:b/>
          <w:bCs/>
          <w:sz w:val="22"/>
          <w:szCs w:val="22"/>
        </w:rPr>
      </w:pPr>
    </w:p>
    <w:p w14:paraId="4F40BD04" w14:textId="1F1E8877" w:rsidR="00E4028A" w:rsidRDefault="00E4028A" w:rsidP="00813B97">
      <w:pPr>
        <w:rPr>
          <w:b/>
          <w:bCs/>
          <w:sz w:val="22"/>
          <w:szCs w:val="22"/>
        </w:rPr>
      </w:pPr>
      <w:r>
        <w:rPr>
          <w:b/>
          <w:bCs/>
          <w:noProof/>
          <w:sz w:val="22"/>
          <w:szCs w:val="22"/>
        </w:rPr>
        <w:drawing>
          <wp:anchor distT="0" distB="0" distL="114300" distR="114300" simplePos="0" relativeHeight="251699200" behindDoc="1" locked="0" layoutInCell="1" allowOverlap="1" wp14:anchorId="16D9D3D4" wp14:editId="376B245A">
            <wp:simplePos x="0" y="0"/>
            <wp:positionH relativeFrom="margin">
              <wp:align>center</wp:align>
            </wp:positionH>
            <wp:positionV relativeFrom="paragraph">
              <wp:posOffset>19050</wp:posOffset>
            </wp:positionV>
            <wp:extent cx="4543425" cy="3510915"/>
            <wp:effectExtent l="19050" t="19050" r="28575" b="13335"/>
            <wp:wrapTight wrapText="bothSides">
              <wp:wrapPolygon edited="0">
                <wp:start x="-91" y="-117"/>
                <wp:lineTo x="-91" y="21565"/>
                <wp:lineTo x="21645" y="21565"/>
                <wp:lineTo x="21645" y="-117"/>
                <wp:lineTo x="-91" y="-11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43856" cy="351116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7EE4975" w14:textId="403C8D91" w:rsidR="00E4028A" w:rsidRDefault="00E4028A" w:rsidP="00813B97">
      <w:pPr>
        <w:rPr>
          <w:b/>
          <w:bCs/>
          <w:sz w:val="22"/>
          <w:szCs w:val="22"/>
        </w:rPr>
      </w:pPr>
    </w:p>
    <w:p w14:paraId="4B21A075" w14:textId="6F36E64A" w:rsidR="00865503" w:rsidRDefault="00865503" w:rsidP="00435913">
      <w:pPr>
        <w:rPr>
          <w:b/>
          <w:bCs/>
          <w:sz w:val="22"/>
          <w:szCs w:val="22"/>
        </w:rPr>
      </w:pPr>
    </w:p>
    <w:p w14:paraId="272DC78A" w14:textId="3BF750E8" w:rsidR="00865503" w:rsidRDefault="00865503" w:rsidP="00435913">
      <w:pPr>
        <w:rPr>
          <w:b/>
          <w:bCs/>
          <w:sz w:val="22"/>
          <w:szCs w:val="22"/>
        </w:rPr>
      </w:pPr>
    </w:p>
    <w:p w14:paraId="4E5110A6" w14:textId="77777777" w:rsidR="00865503" w:rsidRPr="0091564E" w:rsidRDefault="00865503" w:rsidP="00435913">
      <w:pPr>
        <w:rPr>
          <w:b/>
          <w:bCs/>
          <w:sz w:val="16"/>
          <w:szCs w:val="16"/>
        </w:rPr>
      </w:pPr>
      <w:r w:rsidRPr="0091564E">
        <w:rPr>
          <w:noProof/>
          <w:sz w:val="16"/>
          <w:szCs w:val="16"/>
        </w:rPr>
        <mc:AlternateContent>
          <mc:Choice Requires="wps">
            <w:drawing>
              <wp:inline distT="0" distB="0" distL="0" distR="0" wp14:anchorId="44419194" wp14:editId="243FD6EC">
                <wp:extent cx="6372225" cy="635"/>
                <wp:effectExtent l="0" t="0" r="9525" b="0"/>
                <wp:docPr id="33" name="Text Box 33"/>
                <wp:cNvGraphicFramePr/>
                <a:graphic xmlns:a="http://schemas.openxmlformats.org/drawingml/2006/main">
                  <a:graphicData uri="http://schemas.microsoft.com/office/word/2010/wordprocessingShape">
                    <wps:wsp>
                      <wps:cNvSpPr txBox="1"/>
                      <wps:spPr>
                        <a:xfrm>
                          <a:off x="0" y="0"/>
                          <a:ext cx="6372225" cy="635"/>
                        </a:xfrm>
                        <a:prstGeom prst="rect">
                          <a:avLst/>
                        </a:prstGeom>
                        <a:solidFill>
                          <a:prstClr val="white"/>
                        </a:solidFill>
                        <a:ln>
                          <a:noFill/>
                        </a:ln>
                      </wps:spPr>
                      <wps:txbx>
                        <w:txbxContent>
                          <w:p w14:paraId="63A44740" w14:textId="5080374F" w:rsidR="00E72492" w:rsidRPr="0091564E" w:rsidRDefault="00E72492" w:rsidP="000F43B3">
                            <w:pPr>
                              <w:pStyle w:val="Caption"/>
                              <w:rPr>
                                <w:b w:val="0"/>
                                <w:bCs w:val="0"/>
                                <w:noProof/>
                              </w:rPr>
                            </w:pPr>
                            <w:r w:rsidRPr="0091564E">
                              <w:t>Figure 6. Non-fatal drug poisoning ER visit rates, all drugs, per 100,000 population Wyoming, 2016-2018.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19194" id="Text Box 33" o:spid="_x0000_s1030" type="#_x0000_t202" style="width:501.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HHGwIAAD8EAAAOAAAAZHJzL2Uyb0RvYy54bWysU8Fu2zAMvQ/YPwi6L07SNS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" stroked="f">
                <v:textbox style="mso-fit-shape-to-text:t" inset="0,0,0,0">
                  <w:txbxContent>
                    <w:p w14:paraId="63A44740" w14:textId="5080374F" w:rsidR="00E72492" w:rsidRPr="0091564E" w:rsidRDefault="00E72492" w:rsidP="000F43B3">
                      <w:pPr>
                        <w:pStyle w:val="Caption"/>
                        <w:rPr>
                          <w:b w:val="0"/>
                          <w:bCs w:val="0"/>
                          <w:noProof/>
                        </w:rPr>
                      </w:pPr>
                      <w:r w:rsidRPr="0091564E">
                        <w:t>Figure 6. Non-fatal drug poisoning ER visit rates, all drugs, per 100,000 population Wyoming, 2016-2018.</w:t>
                      </w:r>
                    </w:p>
                  </w:txbxContent>
                </v:textbox>
                <w10:anchorlock/>
              </v:shape>
            </w:pict>
          </mc:Fallback>
        </mc:AlternateContent>
      </w:r>
    </w:p>
    <w:p w14:paraId="3BB2262D" w14:textId="51263A9F" w:rsidR="009A7B25" w:rsidRPr="000F43B3" w:rsidRDefault="00857BEF" w:rsidP="00435913">
      <w:pPr>
        <w:rPr>
          <w:sz w:val="22"/>
          <w:szCs w:val="22"/>
        </w:rPr>
      </w:pPr>
      <w:r w:rsidRPr="0084637D">
        <w:rPr>
          <w:b/>
          <w:bCs/>
          <w:sz w:val="22"/>
          <w:szCs w:val="22"/>
        </w:rPr>
        <w:t>Asset maps</w:t>
      </w:r>
      <w:r>
        <w:rPr>
          <w:sz w:val="22"/>
          <w:szCs w:val="22"/>
        </w:rPr>
        <w:t xml:space="preserve">. </w:t>
      </w:r>
      <w:r w:rsidR="00A84D85">
        <w:rPr>
          <w:sz w:val="22"/>
          <w:szCs w:val="22"/>
        </w:rPr>
        <w:t>Our m</w:t>
      </w:r>
      <w:r w:rsidR="008D0AE6">
        <w:rPr>
          <w:sz w:val="22"/>
          <w:szCs w:val="22"/>
        </w:rPr>
        <w:t xml:space="preserve">aps of geocoded addresses for MAT, </w:t>
      </w:r>
      <w:r w:rsidR="006A56EE">
        <w:rPr>
          <w:sz w:val="22"/>
          <w:szCs w:val="22"/>
        </w:rPr>
        <w:t xml:space="preserve">mental health </w:t>
      </w:r>
      <w:r w:rsidR="008D0AE6">
        <w:rPr>
          <w:sz w:val="22"/>
          <w:szCs w:val="22"/>
        </w:rPr>
        <w:t>treatment, buprenorphine-waivered physicians, drug take-back sites, and locations where naloxone may be obtained, indicate</w:t>
      </w:r>
      <w:r w:rsidR="008963EE">
        <w:rPr>
          <w:sz w:val="22"/>
          <w:szCs w:val="22"/>
        </w:rPr>
        <w:t>d</w:t>
      </w:r>
      <w:r w:rsidR="008D0AE6">
        <w:rPr>
          <w:sz w:val="22"/>
          <w:szCs w:val="22"/>
        </w:rPr>
        <w:t xml:space="preserve"> that higher density and diversity of services for people with opioid use disorder (OUD) </w:t>
      </w:r>
      <w:r w:rsidR="008963EE">
        <w:rPr>
          <w:sz w:val="22"/>
          <w:szCs w:val="22"/>
        </w:rPr>
        <w:t>we</w:t>
      </w:r>
      <w:r w:rsidR="008D0AE6">
        <w:rPr>
          <w:sz w:val="22"/>
          <w:szCs w:val="22"/>
        </w:rPr>
        <w:t>re primarily located in the more populous counties</w:t>
      </w:r>
      <w:r w:rsidR="000613C5">
        <w:rPr>
          <w:sz w:val="22"/>
          <w:szCs w:val="22"/>
        </w:rPr>
        <w:t xml:space="preserve"> (Figure </w:t>
      </w:r>
      <w:r w:rsidR="00A54915">
        <w:rPr>
          <w:sz w:val="22"/>
          <w:szCs w:val="22"/>
        </w:rPr>
        <w:t>7</w:t>
      </w:r>
      <w:r w:rsidR="000613C5">
        <w:rPr>
          <w:sz w:val="22"/>
          <w:szCs w:val="22"/>
        </w:rPr>
        <w:t>)</w:t>
      </w:r>
      <w:r w:rsidR="008D0AE6">
        <w:rPr>
          <w:sz w:val="22"/>
          <w:szCs w:val="22"/>
        </w:rPr>
        <w:t xml:space="preserve">. Naloxone and drug take-back sites were the most common assets and could be found in all counties. </w:t>
      </w:r>
      <w:r w:rsidR="00A54915">
        <w:rPr>
          <w:sz w:val="22"/>
          <w:szCs w:val="22"/>
        </w:rPr>
        <w:t>See appendix for maps of specific assets.</w:t>
      </w:r>
      <w:r w:rsidR="000A25DA" w:rsidRPr="000A25DA">
        <w:rPr>
          <w:noProof/>
          <w:sz w:val="22"/>
          <w:szCs w:val="22"/>
        </w:rPr>
        <w:t xml:space="preserve"> </w:t>
      </w:r>
    </w:p>
    <w:p w14:paraId="4813370F" w14:textId="71493EC8" w:rsidR="00F83652" w:rsidRDefault="000613C5" w:rsidP="00813B97">
      <w:pPr>
        <w:rPr>
          <w:sz w:val="22"/>
          <w:szCs w:val="22"/>
        </w:rPr>
      </w:pPr>
      <w:r>
        <w:rPr>
          <w:sz w:val="22"/>
          <w:szCs w:val="22"/>
        </w:rPr>
        <w:t>In addition to the location and distribution of services specifically related to substance use and misuse, we also mapped location</w:t>
      </w:r>
      <w:r w:rsidR="00123F2E">
        <w:rPr>
          <w:sz w:val="22"/>
          <w:szCs w:val="22"/>
        </w:rPr>
        <w:t>s for</w:t>
      </w:r>
      <w:r>
        <w:rPr>
          <w:sz w:val="22"/>
          <w:szCs w:val="22"/>
        </w:rPr>
        <w:t xml:space="preserve"> general healthcare services. </w:t>
      </w:r>
      <w:r w:rsidR="0064583E">
        <w:rPr>
          <w:sz w:val="22"/>
          <w:szCs w:val="22"/>
        </w:rPr>
        <w:t xml:space="preserve">Data related to Health Professional Shortage Areas </w:t>
      </w:r>
      <w:r w:rsidR="00251D61">
        <w:rPr>
          <w:sz w:val="22"/>
          <w:szCs w:val="22"/>
        </w:rPr>
        <w:t>i</w:t>
      </w:r>
      <w:r w:rsidR="0064583E">
        <w:rPr>
          <w:sz w:val="22"/>
          <w:szCs w:val="22"/>
        </w:rPr>
        <w:t xml:space="preserve">ndicate that </w:t>
      </w:r>
      <w:r w:rsidR="00A54915">
        <w:rPr>
          <w:sz w:val="22"/>
          <w:szCs w:val="22"/>
        </w:rPr>
        <w:t xml:space="preserve">all but </w:t>
      </w:r>
      <w:r w:rsidR="00B67A66">
        <w:rPr>
          <w:sz w:val="22"/>
          <w:szCs w:val="22"/>
        </w:rPr>
        <w:t>nine</w:t>
      </w:r>
      <w:r w:rsidR="00A54915">
        <w:rPr>
          <w:sz w:val="22"/>
          <w:szCs w:val="22"/>
        </w:rPr>
        <w:t xml:space="preserve"> counties were designated as having some level of healthcare shortage.</w:t>
      </w:r>
      <w:r>
        <w:rPr>
          <w:sz w:val="22"/>
          <w:szCs w:val="22"/>
        </w:rPr>
        <w:t xml:space="preserve"> (</w:t>
      </w:r>
      <w:r w:rsidR="006D75D9">
        <w:rPr>
          <w:sz w:val="22"/>
          <w:szCs w:val="22"/>
        </w:rPr>
        <w:t xml:space="preserve">See </w:t>
      </w:r>
      <w:r w:rsidR="00A54915" w:rsidRPr="00A83105">
        <w:rPr>
          <w:sz w:val="22"/>
          <w:szCs w:val="22"/>
        </w:rPr>
        <w:t>Appendix</w:t>
      </w:r>
      <w:r>
        <w:rPr>
          <w:sz w:val="22"/>
          <w:szCs w:val="22"/>
        </w:rPr>
        <w:t>)</w:t>
      </w:r>
      <w:r w:rsidR="008D0AE6">
        <w:rPr>
          <w:sz w:val="22"/>
          <w:szCs w:val="22"/>
        </w:rPr>
        <w:t>. Only four regional or area trauma centers (</w:t>
      </w:r>
      <w:r w:rsidR="00B67A66">
        <w:rPr>
          <w:sz w:val="22"/>
          <w:szCs w:val="22"/>
        </w:rPr>
        <w:t>two</w:t>
      </w:r>
      <w:r w:rsidR="008D0AE6">
        <w:rPr>
          <w:sz w:val="22"/>
          <w:szCs w:val="22"/>
        </w:rPr>
        <w:t xml:space="preserve"> of each) exist in the state</w:t>
      </w:r>
      <w:r w:rsidR="003E2816">
        <w:rPr>
          <w:sz w:val="22"/>
          <w:szCs w:val="22"/>
        </w:rPr>
        <w:t xml:space="preserve"> </w:t>
      </w:r>
      <w:r>
        <w:rPr>
          <w:sz w:val="22"/>
          <w:szCs w:val="22"/>
        </w:rPr>
        <w:t>(</w:t>
      </w:r>
      <w:r w:rsidR="006D75D9">
        <w:rPr>
          <w:sz w:val="22"/>
          <w:szCs w:val="22"/>
        </w:rPr>
        <w:t xml:space="preserve">See </w:t>
      </w:r>
      <w:r w:rsidR="00A54915">
        <w:rPr>
          <w:sz w:val="22"/>
          <w:szCs w:val="22"/>
        </w:rPr>
        <w:t>Appendix</w:t>
      </w:r>
      <w:r>
        <w:rPr>
          <w:sz w:val="22"/>
          <w:szCs w:val="22"/>
        </w:rPr>
        <w:t>)</w:t>
      </w:r>
      <w:r w:rsidR="003E2816">
        <w:rPr>
          <w:sz w:val="22"/>
          <w:szCs w:val="22"/>
        </w:rPr>
        <w:t xml:space="preserve">. </w:t>
      </w:r>
    </w:p>
    <w:p w14:paraId="22A775DD" w14:textId="54D4C313" w:rsidR="008D0AE6" w:rsidRDefault="008D0AE6" w:rsidP="00813B97">
      <w:pPr>
        <w:rPr>
          <w:b/>
          <w:bCs/>
          <w:sz w:val="22"/>
          <w:szCs w:val="22"/>
        </w:rPr>
      </w:pPr>
    </w:p>
    <w:p w14:paraId="35B0E457" w14:textId="102BF52F" w:rsidR="000613C5" w:rsidRPr="0091564E" w:rsidRDefault="00E81CAC" w:rsidP="000F43B3">
      <w:pPr>
        <w:keepNext/>
        <w:rPr>
          <w:sz w:val="16"/>
          <w:szCs w:val="16"/>
        </w:rPr>
      </w:pPr>
      <w:r w:rsidRPr="0091564E">
        <w:rPr>
          <w:noProof/>
          <w:sz w:val="16"/>
          <w:szCs w:val="16"/>
        </w:rPr>
        <mc:AlternateContent>
          <mc:Choice Requires="wps">
            <w:drawing>
              <wp:inline distT="0" distB="0" distL="0" distR="0" wp14:anchorId="0169CE3D" wp14:editId="5319BC8C">
                <wp:extent cx="5534025" cy="635"/>
                <wp:effectExtent l="0" t="0" r="9525" b="0"/>
                <wp:docPr id="19" name="Text Box 19"/>
                <wp:cNvGraphicFramePr/>
                <a:graphic xmlns:a="http://schemas.openxmlformats.org/drawingml/2006/main">
                  <a:graphicData uri="http://schemas.microsoft.com/office/word/2010/wordprocessingShape">
                    <wps:wsp>
                      <wps:cNvSpPr txBox="1"/>
                      <wps:spPr>
                        <a:xfrm>
                          <a:off x="0" y="0"/>
                          <a:ext cx="5534025" cy="635"/>
                        </a:xfrm>
                        <a:prstGeom prst="rect">
                          <a:avLst/>
                        </a:prstGeom>
                        <a:solidFill>
                          <a:prstClr val="white"/>
                        </a:solidFill>
                        <a:ln>
                          <a:noFill/>
                        </a:ln>
                      </wps:spPr>
                      <wps:txbx>
                        <w:txbxContent>
                          <w:p w14:paraId="397F9C85" w14:textId="7B1A0103" w:rsidR="00E72492" w:rsidRPr="0091564E" w:rsidRDefault="00E72492" w:rsidP="00E81CAC">
                            <w:pPr>
                              <w:pStyle w:val="Caption"/>
                              <w:rPr>
                                <w:b w:val="0"/>
                                <w:bCs w:val="0"/>
                                <w:noProof/>
                              </w:rPr>
                            </w:pPr>
                            <w:r w:rsidRPr="0091564E">
                              <w:t>Figure 7. Substance Use Disorder and Mental Health Treatment and supports, Wyoming,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9CE3D" id="Text Box 19" o:spid="_x0000_s1031" type="#_x0000_t202" style="width:435.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" stroked="f">
                <v:textbox style="mso-fit-shape-to-text:t" inset="0,0,0,0">
                  <w:txbxContent>
                    <w:p w14:paraId="397F9C85" w14:textId="7B1A0103" w:rsidR="00E72492" w:rsidRPr="0091564E" w:rsidRDefault="00E72492" w:rsidP="00E81CAC">
                      <w:pPr>
                        <w:pStyle w:val="Caption"/>
                        <w:rPr>
                          <w:b w:val="0"/>
                          <w:bCs w:val="0"/>
                          <w:noProof/>
                        </w:rPr>
                      </w:pPr>
                      <w:r w:rsidRPr="0091564E">
                        <w:t>Figure 7. Substance Use Disorder and Mental Health Treatment and supports, Wyoming, 2020.</w:t>
                      </w:r>
                    </w:p>
                  </w:txbxContent>
                </v:textbox>
                <w10:anchorlock/>
              </v:shape>
            </w:pict>
          </mc:Fallback>
        </mc:AlternateContent>
      </w:r>
      <w:r w:rsidRPr="0091564E">
        <w:rPr>
          <w:noProof/>
          <w:sz w:val="16"/>
          <w:szCs w:val="16"/>
        </w:rPr>
        <w:drawing>
          <wp:anchor distT="0" distB="0" distL="114300" distR="114300" simplePos="0" relativeHeight="251735040" behindDoc="0" locked="0" layoutInCell="1" allowOverlap="1" wp14:anchorId="5283BED8" wp14:editId="316457EA">
            <wp:simplePos x="0" y="0"/>
            <wp:positionH relativeFrom="margin">
              <wp:align>center</wp:align>
            </wp:positionH>
            <wp:positionV relativeFrom="page">
              <wp:posOffset>914400</wp:posOffset>
            </wp:positionV>
            <wp:extent cx="4608830" cy="3566160"/>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8830" cy="3566160"/>
                    </a:xfrm>
                    <a:prstGeom prst="rect">
                      <a:avLst/>
                    </a:prstGeom>
                    <a:noFill/>
                  </pic:spPr>
                </pic:pic>
              </a:graphicData>
            </a:graphic>
          </wp:anchor>
        </w:drawing>
      </w:r>
    </w:p>
    <w:p w14:paraId="2ADE9DB6" w14:textId="445EAC18" w:rsidR="00F83652" w:rsidRDefault="00F83652" w:rsidP="00813B97">
      <w:pPr>
        <w:rPr>
          <w:b/>
          <w:bCs/>
          <w:sz w:val="22"/>
          <w:szCs w:val="22"/>
        </w:rPr>
      </w:pPr>
    </w:p>
    <w:p w14:paraId="136A2CAB" w14:textId="0A851ED8" w:rsidR="00F83652" w:rsidRDefault="00F83652" w:rsidP="00813B97">
      <w:pPr>
        <w:rPr>
          <w:b/>
          <w:bCs/>
          <w:sz w:val="22"/>
          <w:szCs w:val="22"/>
        </w:rPr>
      </w:pPr>
    </w:p>
    <w:p w14:paraId="210326AC" w14:textId="29B419DF" w:rsidR="00F83652" w:rsidRDefault="00F83652" w:rsidP="00813B97">
      <w:pPr>
        <w:rPr>
          <w:b/>
          <w:bCs/>
          <w:sz w:val="22"/>
          <w:szCs w:val="22"/>
        </w:rPr>
      </w:pPr>
    </w:p>
    <w:p w14:paraId="4B31C5CB" w14:textId="0DD745CC" w:rsidR="00F83652" w:rsidRDefault="00F83652" w:rsidP="00813B97">
      <w:pPr>
        <w:rPr>
          <w:b/>
          <w:bCs/>
          <w:sz w:val="22"/>
          <w:szCs w:val="22"/>
        </w:rPr>
      </w:pPr>
    </w:p>
    <w:p w14:paraId="27426553" w14:textId="6792A16E" w:rsidR="00F83652" w:rsidRDefault="00F83652" w:rsidP="00813B97">
      <w:pPr>
        <w:rPr>
          <w:b/>
          <w:bCs/>
          <w:sz w:val="22"/>
          <w:szCs w:val="22"/>
        </w:rPr>
      </w:pPr>
    </w:p>
    <w:p w14:paraId="644FD1F2" w14:textId="635A835B" w:rsidR="00F83652" w:rsidRDefault="00F83652" w:rsidP="00813B97">
      <w:pPr>
        <w:rPr>
          <w:b/>
          <w:bCs/>
          <w:sz w:val="22"/>
          <w:szCs w:val="22"/>
        </w:rPr>
      </w:pPr>
    </w:p>
    <w:p w14:paraId="2A204189" w14:textId="585FA137" w:rsidR="00F83652" w:rsidRDefault="00F83652" w:rsidP="00813B97">
      <w:pPr>
        <w:rPr>
          <w:b/>
          <w:bCs/>
          <w:sz w:val="22"/>
          <w:szCs w:val="22"/>
        </w:rPr>
      </w:pPr>
    </w:p>
    <w:p w14:paraId="7A9F3229" w14:textId="43F1F113" w:rsidR="0047628C" w:rsidRDefault="0047628C" w:rsidP="00813B97">
      <w:pPr>
        <w:rPr>
          <w:b/>
          <w:bCs/>
          <w:sz w:val="22"/>
          <w:szCs w:val="22"/>
        </w:rPr>
      </w:pPr>
    </w:p>
    <w:p w14:paraId="639F5885" w14:textId="60AEA28C" w:rsidR="0047628C" w:rsidRDefault="0047628C" w:rsidP="00813B97">
      <w:pPr>
        <w:rPr>
          <w:b/>
          <w:bCs/>
          <w:sz w:val="22"/>
          <w:szCs w:val="22"/>
        </w:rPr>
      </w:pPr>
    </w:p>
    <w:p w14:paraId="59CD9889" w14:textId="40D20FFF" w:rsidR="0047628C" w:rsidRDefault="0047628C" w:rsidP="00813B97">
      <w:pPr>
        <w:rPr>
          <w:b/>
          <w:bCs/>
          <w:sz w:val="22"/>
          <w:szCs w:val="22"/>
        </w:rPr>
      </w:pPr>
    </w:p>
    <w:p w14:paraId="2037715C" w14:textId="5E022DEE" w:rsidR="0047628C" w:rsidRDefault="0047628C" w:rsidP="00813B97">
      <w:pPr>
        <w:rPr>
          <w:b/>
          <w:bCs/>
          <w:sz w:val="22"/>
          <w:szCs w:val="22"/>
        </w:rPr>
      </w:pPr>
    </w:p>
    <w:p w14:paraId="27B9AF4F" w14:textId="6B765F4E" w:rsidR="006D75D9" w:rsidRDefault="006D75D9" w:rsidP="00813B97">
      <w:pPr>
        <w:rPr>
          <w:b/>
          <w:bCs/>
          <w:sz w:val="22"/>
          <w:szCs w:val="22"/>
        </w:rPr>
      </w:pPr>
    </w:p>
    <w:p w14:paraId="70432FD6" w14:textId="509E36EC" w:rsidR="006D75D9" w:rsidRDefault="006D75D9" w:rsidP="00813B97">
      <w:pPr>
        <w:rPr>
          <w:b/>
          <w:bCs/>
          <w:sz w:val="22"/>
          <w:szCs w:val="22"/>
        </w:rPr>
      </w:pPr>
    </w:p>
    <w:p w14:paraId="10B6AD78" w14:textId="1BE906B1" w:rsidR="008F39BF" w:rsidRDefault="006D75D9" w:rsidP="00813B97">
      <w:pPr>
        <w:rPr>
          <w:sz w:val="22"/>
          <w:szCs w:val="22"/>
        </w:rPr>
      </w:pPr>
      <w:r>
        <w:rPr>
          <w:noProof/>
        </w:rPr>
        <mc:AlternateContent>
          <mc:Choice Requires="wps">
            <w:drawing>
              <wp:anchor distT="0" distB="0" distL="114300" distR="114300" simplePos="0" relativeHeight="251708416" behindDoc="1" locked="0" layoutInCell="1" allowOverlap="1" wp14:anchorId="72EFDF17" wp14:editId="3E365E2D">
                <wp:simplePos x="0" y="0"/>
                <wp:positionH relativeFrom="margin">
                  <wp:align>left</wp:align>
                </wp:positionH>
                <wp:positionV relativeFrom="paragraph">
                  <wp:posOffset>5148173</wp:posOffset>
                </wp:positionV>
                <wp:extent cx="5943600" cy="635"/>
                <wp:effectExtent l="0" t="0" r="0" b="0"/>
                <wp:wrapTight wrapText="bothSides">
                  <wp:wrapPolygon edited="0">
                    <wp:start x="0" y="0"/>
                    <wp:lineTo x="0" y="20217"/>
                    <wp:lineTo x="21531" y="20217"/>
                    <wp:lineTo x="21531"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504A4A6" w14:textId="57C2B3C0" w:rsidR="00E72492" w:rsidRPr="0091564E" w:rsidRDefault="00E72492" w:rsidP="00A83105">
                            <w:pPr>
                              <w:pStyle w:val="Caption"/>
                            </w:pPr>
                            <w:r w:rsidRPr="0091564E">
                              <w:t>Figure</w:t>
                            </w:r>
                            <w:r>
                              <w:t xml:space="preserve"> 8</w:t>
                            </w:r>
                            <w:r w:rsidRPr="0091564E">
                              <w:t>. Drive times to MAT providers and treatment, Wyoming,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FDF17" id="Text Box 37" o:spid="_x0000_s1032" type="#_x0000_t202" style="position:absolute;margin-left:0;margin-top:405.35pt;width:468pt;height:.05pt;z-index:-2516080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" stroked="f">
                <v:textbox style="mso-fit-shape-to-text:t" inset="0,0,0,0">
                  <w:txbxContent>
                    <w:p w14:paraId="4504A4A6" w14:textId="57C2B3C0" w:rsidR="00E72492" w:rsidRPr="0091564E" w:rsidRDefault="00E72492" w:rsidP="00A83105">
                      <w:pPr>
                        <w:pStyle w:val="Caption"/>
                      </w:pPr>
                      <w:r w:rsidRPr="0091564E">
                        <w:t>Figure</w:t>
                      </w:r>
                      <w:r>
                        <w:t xml:space="preserve"> 8</w:t>
                      </w:r>
                      <w:r w:rsidRPr="0091564E">
                        <w:t>. Drive times to MAT providers and treatment, Wyoming, 2020.</w:t>
                      </w:r>
                    </w:p>
                  </w:txbxContent>
                </v:textbox>
                <w10:wrap type="tight" anchorx="margin"/>
              </v:shape>
            </w:pict>
          </mc:Fallback>
        </mc:AlternateContent>
      </w:r>
      <w:r>
        <w:rPr>
          <w:noProof/>
          <w:sz w:val="22"/>
          <w:szCs w:val="22"/>
        </w:rPr>
        <w:drawing>
          <wp:anchor distT="0" distB="0" distL="114300" distR="114300" simplePos="0" relativeHeight="251687936" behindDoc="1" locked="0" layoutInCell="1" allowOverlap="1" wp14:anchorId="50AB2741" wp14:editId="2B217947">
            <wp:simplePos x="0" y="0"/>
            <wp:positionH relativeFrom="margin">
              <wp:align>center</wp:align>
            </wp:positionH>
            <wp:positionV relativeFrom="paragraph">
              <wp:posOffset>1233135</wp:posOffset>
            </wp:positionV>
            <wp:extent cx="5942965" cy="3870325"/>
            <wp:effectExtent l="19050" t="19050" r="19685" b="15875"/>
            <wp:wrapTight wrapText="bothSides">
              <wp:wrapPolygon edited="0">
                <wp:start x="-69" y="-106"/>
                <wp:lineTo x="-69" y="21582"/>
                <wp:lineTo x="21602" y="21582"/>
                <wp:lineTo x="21602" y="-106"/>
                <wp:lineTo x="-69" y="-10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2965" cy="3870325"/>
                    </a:xfrm>
                    <a:prstGeom prst="rect">
                      <a:avLst/>
                    </a:prstGeom>
                    <a:ln>
                      <a:solidFill>
                        <a:schemeClr val="tx1"/>
                      </a:solidFill>
                    </a:ln>
                  </pic:spPr>
                </pic:pic>
              </a:graphicData>
            </a:graphic>
            <wp14:sizeRelV relativeFrom="margin">
              <wp14:pctHeight>0</wp14:pctHeight>
            </wp14:sizeRelV>
          </wp:anchor>
        </w:drawing>
      </w:r>
      <w:r w:rsidR="00944054">
        <w:rPr>
          <w:b/>
          <w:bCs/>
          <w:sz w:val="22"/>
          <w:szCs w:val="22"/>
        </w:rPr>
        <w:t>Network analysis.</w:t>
      </w:r>
      <w:r w:rsidR="00944054">
        <w:rPr>
          <w:sz w:val="22"/>
          <w:szCs w:val="22"/>
        </w:rPr>
        <w:t xml:space="preserve"> </w:t>
      </w:r>
      <w:r w:rsidR="00B67A66">
        <w:rPr>
          <w:sz w:val="22"/>
          <w:szCs w:val="22"/>
        </w:rPr>
        <w:t xml:space="preserve">Through our </w:t>
      </w:r>
      <w:r w:rsidR="00944054">
        <w:rPr>
          <w:sz w:val="22"/>
          <w:szCs w:val="22"/>
        </w:rPr>
        <w:t>network analys</w:t>
      </w:r>
      <w:r w:rsidR="00B67A66">
        <w:rPr>
          <w:sz w:val="22"/>
          <w:szCs w:val="22"/>
        </w:rPr>
        <w:t>e</w:t>
      </w:r>
      <w:r w:rsidR="00944054">
        <w:rPr>
          <w:sz w:val="22"/>
          <w:szCs w:val="22"/>
        </w:rPr>
        <w:t>s</w:t>
      </w:r>
      <w:r w:rsidR="00B67A66">
        <w:rPr>
          <w:sz w:val="22"/>
          <w:szCs w:val="22"/>
        </w:rPr>
        <w:t>, we found</w:t>
      </w:r>
      <w:r w:rsidR="000613C5">
        <w:rPr>
          <w:sz w:val="22"/>
          <w:szCs w:val="22"/>
        </w:rPr>
        <w:t xml:space="preserve"> that </w:t>
      </w:r>
      <w:r w:rsidR="00B67A66">
        <w:rPr>
          <w:sz w:val="22"/>
          <w:szCs w:val="22"/>
        </w:rPr>
        <w:t xml:space="preserve">60-120 minute </w:t>
      </w:r>
      <w:r w:rsidR="00EE72D7">
        <w:rPr>
          <w:sz w:val="22"/>
          <w:szCs w:val="22"/>
        </w:rPr>
        <w:t>drive</w:t>
      </w:r>
      <w:r w:rsidR="00B67A66">
        <w:rPr>
          <w:sz w:val="22"/>
          <w:szCs w:val="22"/>
        </w:rPr>
        <w:t>-</w:t>
      </w:r>
      <w:r w:rsidR="00EE72D7">
        <w:rPr>
          <w:sz w:val="22"/>
          <w:szCs w:val="22"/>
        </w:rPr>
        <w:t xml:space="preserve">times </w:t>
      </w:r>
      <w:r w:rsidR="00B67A66">
        <w:rPr>
          <w:sz w:val="22"/>
          <w:szCs w:val="22"/>
        </w:rPr>
        <w:t>to</w:t>
      </w:r>
      <w:r w:rsidR="00EE72D7">
        <w:rPr>
          <w:sz w:val="22"/>
          <w:szCs w:val="22"/>
        </w:rPr>
        <w:t xml:space="preserve"> </w:t>
      </w:r>
      <w:r w:rsidR="00B67A66">
        <w:rPr>
          <w:sz w:val="22"/>
          <w:szCs w:val="22"/>
        </w:rPr>
        <w:t>b</w:t>
      </w:r>
      <w:r w:rsidR="00EE72D7">
        <w:rPr>
          <w:sz w:val="22"/>
          <w:szCs w:val="22"/>
        </w:rPr>
        <w:t xml:space="preserve">uprenorphine and/or </w:t>
      </w:r>
      <w:r w:rsidR="00B67A66">
        <w:rPr>
          <w:sz w:val="22"/>
          <w:szCs w:val="22"/>
        </w:rPr>
        <w:t>n</w:t>
      </w:r>
      <w:r w:rsidR="00EE72D7">
        <w:rPr>
          <w:sz w:val="22"/>
          <w:szCs w:val="22"/>
        </w:rPr>
        <w:t xml:space="preserve">altrexone treatment </w:t>
      </w:r>
      <w:r w:rsidR="00B67A66">
        <w:rPr>
          <w:sz w:val="22"/>
          <w:szCs w:val="22"/>
        </w:rPr>
        <w:t xml:space="preserve">services were </w:t>
      </w:r>
      <w:r w:rsidR="00EE72D7">
        <w:rPr>
          <w:sz w:val="22"/>
          <w:szCs w:val="22"/>
        </w:rPr>
        <w:t xml:space="preserve">likely </w:t>
      </w:r>
      <w:r w:rsidR="00B67A66">
        <w:rPr>
          <w:sz w:val="22"/>
          <w:szCs w:val="22"/>
        </w:rPr>
        <w:t>for people with OUD in</w:t>
      </w:r>
      <w:r w:rsidR="00EE72D7">
        <w:rPr>
          <w:sz w:val="22"/>
          <w:szCs w:val="22"/>
        </w:rPr>
        <w:t xml:space="preserve"> much of Wyoming</w:t>
      </w:r>
      <w:r w:rsidR="008F39BF">
        <w:rPr>
          <w:sz w:val="22"/>
          <w:szCs w:val="22"/>
        </w:rPr>
        <w:t xml:space="preserve"> (Figure 8)</w:t>
      </w:r>
      <w:r w:rsidR="00944054">
        <w:rPr>
          <w:sz w:val="22"/>
          <w:szCs w:val="22"/>
        </w:rPr>
        <w:t>.</w:t>
      </w:r>
      <w:r w:rsidR="00EE72D7">
        <w:rPr>
          <w:sz w:val="22"/>
          <w:szCs w:val="22"/>
        </w:rPr>
        <w:t xml:space="preserve"> According to the SAMHSA treatment directory, not all substance use treatment locations provide prescriptions for MAT, although they accept patients who obtain prescriptions elsewhere. </w:t>
      </w:r>
    </w:p>
    <w:p w14:paraId="6E8DDB81" w14:textId="14B43A6E" w:rsidR="00987687" w:rsidRPr="000F43B3" w:rsidRDefault="008F39BF" w:rsidP="00813B97">
      <w:pPr>
        <w:rPr>
          <w:sz w:val="22"/>
          <w:szCs w:val="22"/>
        </w:rPr>
      </w:pPr>
      <w:r>
        <w:rPr>
          <w:sz w:val="22"/>
          <w:szCs w:val="22"/>
        </w:rPr>
        <w:t xml:space="preserve">Wyoming does not currently offer methadone maintenance as an option for treatment. The nearest SAMHSA-certified </w:t>
      </w:r>
      <w:r w:rsidR="00900300">
        <w:rPr>
          <w:sz w:val="22"/>
          <w:szCs w:val="22"/>
        </w:rPr>
        <w:t>methadone maintenance programs</w:t>
      </w:r>
      <w:r w:rsidR="00F22C28">
        <w:rPr>
          <w:sz w:val="22"/>
          <w:szCs w:val="22"/>
        </w:rPr>
        <w:t xml:space="preserve">, </w:t>
      </w:r>
      <w:r>
        <w:rPr>
          <w:sz w:val="22"/>
          <w:szCs w:val="22"/>
        </w:rPr>
        <w:t>are located in adjacent states, well over a four-hour round trip by car (Figure 9). Syringe services programs (SSPs), which typically provide needle exchange and a wide variety of testing and wrap-around services, are illegal in Wyoming.</w:t>
      </w:r>
    </w:p>
    <w:p w14:paraId="194A4711" w14:textId="0E629004" w:rsidR="008F39BF" w:rsidRDefault="00573A4E" w:rsidP="000F43B3">
      <w:pPr>
        <w:keepNext/>
      </w:pPr>
      <w:r>
        <w:rPr>
          <w:noProof/>
        </w:rPr>
        <mc:AlternateContent>
          <mc:Choice Requires="wps">
            <w:drawing>
              <wp:anchor distT="0" distB="0" distL="114300" distR="114300" simplePos="0" relativeHeight="251740160" behindDoc="0" locked="0" layoutInCell="1" allowOverlap="1" wp14:anchorId="763B9848" wp14:editId="581F4819">
                <wp:simplePos x="0" y="0"/>
                <wp:positionH relativeFrom="margin">
                  <wp:align>left</wp:align>
                </wp:positionH>
                <wp:positionV relativeFrom="paragraph">
                  <wp:posOffset>3924935</wp:posOffset>
                </wp:positionV>
                <wp:extent cx="5005070" cy="635"/>
                <wp:effectExtent l="0" t="0" r="5080" b="9525"/>
                <wp:wrapSquare wrapText="bothSides"/>
                <wp:docPr id="21" name="Text Box 21"/>
                <wp:cNvGraphicFramePr/>
                <a:graphic xmlns:a="http://schemas.openxmlformats.org/drawingml/2006/main">
                  <a:graphicData uri="http://schemas.microsoft.com/office/word/2010/wordprocessingShape">
                    <wps:wsp>
                      <wps:cNvSpPr txBox="1"/>
                      <wps:spPr>
                        <a:xfrm>
                          <a:off x="0" y="0"/>
                          <a:ext cx="5005070" cy="635"/>
                        </a:xfrm>
                        <a:prstGeom prst="rect">
                          <a:avLst/>
                        </a:prstGeom>
                        <a:solidFill>
                          <a:prstClr val="white"/>
                        </a:solidFill>
                        <a:ln>
                          <a:noFill/>
                        </a:ln>
                      </wps:spPr>
                      <wps:txbx>
                        <w:txbxContent>
                          <w:p w14:paraId="34AA8FFC" w14:textId="2D423300" w:rsidR="00E72492" w:rsidRPr="00785725" w:rsidRDefault="00E72492" w:rsidP="00573A4E">
                            <w:pPr>
                              <w:pStyle w:val="Caption"/>
                              <w:rPr>
                                <w:noProof/>
                              </w:rPr>
                            </w:pPr>
                            <w:r w:rsidRPr="00980370">
                              <w:t>Figure 9. Drive times to methadone maintenance programs, Wyoming,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B9848" id="Text Box 21" o:spid="_x0000_s1033" type="#_x0000_t202" style="position:absolute;margin-left:0;margin-top:309.05pt;width:394.1pt;height:.05pt;z-index:2517401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" stroked="f">
                <v:textbox style="mso-fit-shape-to-text:t" inset="0,0,0,0">
                  <w:txbxContent>
                    <w:p w14:paraId="34AA8FFC" w14:textId="2D423300" w:rsidR="00E72492" w:rsidRPr="00785725" w:rsidRDefault="00E72492" w:rsidP="00573A4E">
                      <w:pPr>
                        <w:pStyle w:val="Caption"/>
                        <w:rPr>
                          <w:noProof/>
                        </w:rPr>
                      </w:pPr>
                      <w:r w:rsidRPr="00980370">
                        <w:t>Figure 9. Drive times to methadone maintenance programs, Wyoming, 2020.</w:t>
                      </w:r>
                    </w:p>
                  </w:txbxContent>
                </v:textbox>
                <w10:wrap type="square" anchorx="margin"/>
              </v:shape>
            </w:pict>
          </mc:Fallback>
        </mc:AlternateContent>
      </w:r>
      <w:r>
        <w:rPr>
          <w:b/>
          <w:bCs/>
          <w:noProof/>
          <w:sz w:val="22"/>
          <w:szCs w:val="22"/>
        </w:rPr>
        <w:drawing>
          <wp:anchor distT="0" distB="0" distL="114300" distR="114300" simplePos="0" relativeHeight="251736064" behindDoc="0" locked="0" layoutInCell="1" allowOverlap="1" wp14:anchorId="467B4115" wp14:editId="0F7F4443">
            <wp:simplePos x="0" y="0"/>
            <wp:positionH relativeFrom="margin">
              <wp:posOffset>466725</wp:posOffset>
            </wp:positionH>
            <wp:positionV relativeFrom="paragraph">
              <wp:posOffset>0</wp:posOffset>
            </wp:positionV>
            <wp:extent cx="5005533" cy="3867912"/>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5533" cy="3867912"/>
                    </a:xfrm>
                    <a:prstGeom prst="rect">
                      <a:avLst/>
                    </a:prstGeom>
                  </pic:spPr>
                </pic:pic>
              </a:graphicData>
            </a:graphic>
            <wp14:sizeRelH relativeFrom="margin">
              <wp14:pctWidth>0</wp14:pctWidth>
            </wp14:sizeRelH>
            <wp14:sizeRelV relativeFrom="margin">
              <wp14:pctHeight>0</wp14:pctHeight>
            </wp14:sizeRelV>
          </wp:anchor>
        </w:drawing>
      </w:r>
    </w:p>
    <w:p w14:paraId="5829726A" w14:textId="7B4234ED" w:rsidR="00573A4E" w:rsidRDefault="00573A4E" w:rsidP="000F43B3">
      <w:pPr>
        <w:pStyle w:val="Caption"/>
        <w:rPr>
          <w:sz w:val="22"/>
          <w:szCs w:val="22"/>
        </w:rPr>
      </w:pPr>
    </w:p>
    <w:p w14:paraId="1BAAAD87" w14:textId="78E6F92B" w:rsidR="00573A4E" w:rsidRDefault="00573A4E" w:rsidP="000F43B3">
      <w:pPr>
        <w:pStyle w:val="Caption"/>
        <w:rPr>
          <w:sz w:val="22"/>
          <w:szCs w:val="22"/>
        </w:rPr>
      </w:pPr>
    </w:p>
    <w:p w14:paraId="09BE5261" w14:textId="77777777" w:rsidR="00573A4E" w:rsidRDefault="00573A4E" w:rsidP="000613C5">
      <w:pPr>
        <w:rPr>
          <w:b/>
          <w:bCs/>
          <w:sz w:val="22"/>
          <w:szCs w:val="22"/>
        </w:rPr>
        <w:sectPr w:rsidR="00573A4E" w:rsidSect="00D70C87">
          <w:type w:val="continuous"/>
          <w:pgSz w:w="12240" w:h="15840"/>
          <w:pgMar w:top="1440" w:right="1440" w:bottom="1440" w:left="1440" w:header="720" w:footer="720" w:gutter="0"/>
          <w:cols w:space="720"/>
          <w:titlePg/>
          <w:docGrid w:linePitch="360"/>
        </w:sectPr>
      </w:pPr>
    </w:p>
    <w:p w14:paraId="04167627" w14:textId="3976AB1E" w:rsidR="000613C5" w:rsidRPr="00CC0E1A" w:rsidRDefault="0091564E" w:rsidP="000613C5">
      <w:pPr>
        <w:rPr>
          <w:sz w:val="22"/>
          <w:szCs w:val="22"/>
        </w:rPr>
      </w:pPr>
      <w:r>
        <w:rPr>
          <w:noProof/>
        </w:rPr>
        <mc:AlternateContent>
          <mc:Choice Requires="wps">
            <w:drawing>
              <wp:anchor distT="0" distB="0" distL="114300" distR="114300" simplePos="0" relativeHeight="251738112" behindDoc="1" locked="0" layoutInCell="1" allowOverlap="1" wp14:anchorId="29C12056" wp14:editId="71C8E44B">
                <wp:simplePos x="0" y="0"/>
                <wp:positionH relativeFrom="column">
                  <wp:posOffset>110364</wp:posOffset>
                </wp:positionH>
                <wp:positionV relativeFrom="paragraph">
                  <wp:posOffset>5258951</wp:posOffset>
                </wp:positionV>
                <wp:extent cx="5943600"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64D703B" w14:textId="73805908" w:rsidR="00E72492" w:rsidRPr="0091564E" w:rsidRDefault="00E72492" w:rsidP="00573A4E">
                            <w:pPr>
                              <w:pStyle w:val="Caption"/>
                            </w:pPr>
                            <w:r w:rsidRPr="0091564E">
                              <w:t>Figure 10. Accessibility to substance use treatment using 2SFCA, Wyoming,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12056" id="Text Box 20" o:spid="_x0000_s1034" type="#_x0000_t202" style="position:absolute;margin-left:8.7pt;margin-top:414.1pt;width:468pt;height:.0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" stroked="f">
                <v:textbox style="mso-fit-shape-to-text:t" inset="0,0,0,0">
                  <w:txbxContent>
                    <w:p w14:paraId="564D703B" w14:textId="73805908" w:rsidR="00E72492" w:rsidRPr="0091564E" w:rsidRDefault="00E72492" w:rsidP="00573A4E">
                      <w:pPr>
                        <w:pStyle w:val="Caption"/>
                      </w:pPr>
                      <w:r w:rsidRPr="0091564E">
                        <w:t>Figure 10. Accessibility to substance use treatment using 2SFCA, Wyoming, 2020.</w:t>
                      </w:r>
                    </w:p>
                  </w:txbxContent>
                </v:textbox>
                <w10:wrap type="tight"/>
              </v:shape>
            </w:pict>
          </mc:Fallback>
        </mc:AlternateContent>
      </w:r>
      <w:r>
        <w:rPr>
          <w:b/>
          <w:bCs/>
          <w:noProof/>
          <w:sz w:val="22"/>
          <w:szCs w:val="22"/>
        </w:rPr>
        <w:drawing>
          <wp:anchor distT="0" distB="0" distL="114300" distR="114300" simplePos="0" relativeHeight="251694080" behindDoc="1" locked="0" layoutInCell="1" allowOverlap="1" wp14:anchorId="7555FE3F" wp14:editId="675A5064">
            <wp:simplePos x="0" y="0"/>
            <wp:positionH relativeFrom="column">
              <wp:posOffset>878471</wp:posOffset>
            </wp:positionH>
            <wp:positionV relativeFrom="paragraph">
              <wp:posOffset>1655906</wp:posOffset>
            </wp:positionV>
            <wp:extent cx="4544060" cy="3510915"/>
            <wp:effectExtent l="19050" t="19050" r="27940" b="133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44060" cy="35109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613C5">
        <w:rPr>
          <w:b/>
          <w:bCs/>
          <w:sz w:val="22"/>
          <w:szCs w:val="22"/>
        </w:rPr>
        <w:t>Accessibility to Treatment: 2-Step Floating Catchment Area Analysis</w:t>
      </w:r>
      <w:r w:rsidR="000613C5">
        <w:rPr>
          <w:sz w:val="22"/>
          <w:szCs w:val="22"/>
        </w:rPr>
        <w:t xml:space="preserve">. </w:t>
      </w:r>
      <w:r w:rsidR="00BF2683">
        <w:rPr>
          <w:sz w:val="22"/>
          <w:szCs w:val="22"/>
        </w:rPr>
        <w:t>Through 2SFCA analyses, w</w:t>
      </w:r>
      <w:r w:rsidR="000613C5">
        <w:rPr>
          <w:sz w:val="22"/>
          <w:szCs w:val="22"/>
        </w:rPr>
        <w:t xml:space="preserve">e found that the majority of Wyoming can be described as having low accessibility to </w:t>
      </w:r>
      <w:r w:rsidR="00EB1877">
        <w:rPr>
          <w:sz w:val="22"/>
          <w:szCs w:val="22"/>
        </w:rPr>
        <w:t>buprenorphine-waivered clinicians</w:t>
      </w:r>
      <w:r w:rsidR="000613C5">
        <w:rPr>
          <w:sz w:val="22"/>
          <w:szCs w:val="22"/>
        </w:rPr>
        <w:t xml:space="preserve">; the highest areas </w:t>
      </w:r>
      <w:r w:rsidR="00EB1877">
        <w:rPr>
          <w:sz w:val="22"/>
          <w:szCs w:val="22"/>
        </w:rPr>
        <w:t xml:space="preserve">of access generally </w:t>
      </w:r>
      <w:r w:rsidR="000613C5">
        <w:rPr>
          <w:sz w:val="22"/>
          <w:szCs w:val="22"/>
        </w:rPr>
        <w:t xml:space="preserve">being </w:t>
      </w:r>
      <w:r w:rsidR="00EB1877">
        <w:rPr>
          <w:sz w:val="22"/>
          <w:szCs w:val="22"/>
        </w:rPr>
        <w:t>closest</w:t>
      </w:r>
      <w:r w:rsidR="000613C5">
        <w:rPr>
          <w:sz w:val="22"/>
          <w:szCs w:val="22"/>
        </w:rPr>
        <w:t xml:space="preserve"> to higher population</w:t>
      </w:r>
      <w:r w:rsidR="00EB1877">
        <w:rPr>
          <w:sz w:val="22"/>
          <w:szCs w:val="22"/>
        </w:rPr>
        <w:t>s.</w:t>
      </w:r>
      <w:r w:rsidR="00EA6FAA">
        <w:rPr>
          <w:sz w:val="22"/>
          <w:szCs w:val="22"/>
        </w:rPr>
        <w:t xml:space="preserve"> The floating catchment area accounts for the distribution of both providers and the underlying population served by them. Therefore, it is likely that some areas with higher number of providers may still have low accessibility as they may serve a large population. This is particularly true in larger cities that have few providers. </w:t>
      </w:r>
    </w:p>
    <w:p w14:paraId="620D1A17" w14:textId="77777777" w:rsidR="0091564E" w:rsidRDefault="0091564E" w:rsidP="00813B97">
      <w:pPr>
        <w:rPr>
          <w:b/>
          <w:bCs/>
          <w:sz w:val="22"/>
          <w:szCs w:val="22"/>
        </w:rPr>
        <w:sectPr w:rsidR="0091564E" w:rsidSect="00573A4E">
          <w:pgSz w:w="12240" w:h="15840"/>
          <w:pgMar w:top="1440" w:right="1440" w:bottom="1440" w:left="1440" w:header="720" w:footer="720" w:gutter="0"/>
          <w:cols w:space="720"/>
          <w:titlePg/>
          <w:docGrid w:linePitch="360"/>
        </w:sectPr>
      </w:pPr>
    </w:p>
    <w:p w14:paraId="3F322285" w14:textId="5E106DCC" w:rsidR="00F83382" w:rsidRPr="00CC0E1A" w:rsidRDefault="0091564E" w:rsidP="00813B97">
      <w:pPr>
        <w:rPr>
          <w:b/>
          <w:bCs/>
          <w:sz w:val="22"/>
          <w:szCs w:val="22"/>
        </w:rPr>
      </w:pPr>
      <w:r>
        <w:rPr>
          <w:noProof/>
        </w:rPr>
        <mc:AlternateContent>
          <mc:Choice Requires="wps">
            <w:drawing>
              <wp:anchor distT="0" distB="0" distL="114300" distR="114300" simplePos="0" relativeHeight="251742208" behindDoc="1" locked="0" layoutInCell="1" allowOverlap="1" wp14:anchorId="37512265" wp14:editId="6F41BE19">
                <wp:simplePos x="0" y="0"/>
                <wp:positionH relativeFrom="column">
                  <wp:posOffset>9525</wp:posOffset>
                </wp:positionH>
                <wp:positionV relativeFrom="paragraph">
                  <wp:posOffset>6039485</wp:posOffset>
                </wp:positionV>
                <wp:extent cx="5916295" cy="635"/>
                <wp:effectExtent l="0" t="0" r="0" b="0"/>
                <wp:wrapTight wrapText="bothSides">
                  <wp:wrapPolygon edited="0">
                    <wp:start x="0" y="0"/>
                    <wp:lineTo x="0" y="21600"/>
                    <wp:lineTo x="21600" y="21600"/>
                    <wp:lineTo x="21600" y="0"/>
                  </wp:wrapPolygon>
                </wp:wrapTight>
                <wp:docPr id="28" name="Text Box 28"/>
                <wp:cNvGraphicFramePr/>
                <a:graphic xmlns:a="http://schemas.openxmlformats.org/drawingml/2006/main">
                  <a:graphicData uri="http://schemas.microsoft.com/office/word/2010/wordprocessingShape">
                    <wps:wsp>
                      <wps:cNvSpPr txBox="1"/>
                      <wps:spPr>
                        <a:xfrm>
                          <a:off x="0" y="0"/>
                          <a:ext cx="5916295" cy="635"/>
                        </a:xfrm>
                        <a:prstGeom prst="rect">
                          <a:avLst/>
                        </a:prstGeom>
                        <a:solidFill>
                          <a:prstClr val="white"/>
                        </a:solidFill>
                        <a:ln>
                          <a:noFill/>
                        </a:ln>
                      </wps:spPr>
                      <wps:txbx>
                        <w:txbxContent>
                          <w:p w14:paraId="26BA8F19" w14:textId="4673F0A9" w:rsidR="00E72492" w:rsidRDefault="00E72492" w:rsidP="0091564E">
                            <w:pPr>
                              <w:pStyle w:val="Caption"/>
                              <w:rPr>
                                <w:noProof/>
                              </w:rPr>
                            </w:pPr>
                            <w:r>
                              <w:t>Figure 11. Opioid vulnerability ranks, Wyoming,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12265" id="Text Box 28" o:spid="_x0000_s1035" type="#_x0000_t202" style="position:absolute;margin-left:.75pt;margin-top:475.55pt;width:465.85pt;height:.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oHGgIAAD8EAAAOAAAAZHJzL2Uyb0RvYy54bWysU1GP2jAMfp+0/xDlfRSYQLu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" stroked="f">
                <v:textbox style="mso-fit-shape-to-text:t" inset="0,0,0,0">
                  <w:txbxContent>
                    <w:p w14:paraId="26BA8F19" w14:textId="4673F0A9" w:rsidR="00E72492" w:rsidRDefault="00E72492" w:rsidP="0091564E">
                      <w:pPr>
                        <w:pStyle w:val="Caption"/>
                        <w:rPr>
                          <w:noProof/>
                        </w:rPr>
                      </w:pPr>
                      <w:r>
                        <w:t>Figure 11. Opioid vulnerability ranks, Wyoming, 2020.</w:t>
                      </w:r>
                    </w:p>
                  </w:txbxContent>
                </v:textbox>
                <w10:wrap type="tight"/>
              </v:shape>
            </w:pict>
          </mc:Fallback>
        </mc:AlternateContent>
      </w:r>
      <w:r>
        <w:rPr>
          <w:noProof/>
          <w:sz w:val="22"/>
          <w:szCs w:val="22"/>
        </w:rPr>
        <w:drawing>
          <wp:anchor distT="0" distB="0" distL="114300" distR="114300" simplePos="0" relativeHeight="251661312" behindDoc="1" locked="0" layoutInCell="1" allowOverlap="1" wp14:anchorId="60D53F9F" wp14:editId="14A13E42">
            <wp:simplePos x="0" y="0"/>
            <wp:positionH relativeFrom="margin">
              <wp:align>center</wp:align>
            </wp:positionH>
            <wp:positionV relativeFrom="paragraph">
              <wp:posOffset>1410335</wp:posOffset>
            </wp:positionV>
            <wp:extent cx="5916669" cy="4572000"/>
            <wp:effectExtent l="19050" t="19050" r="27305" b="19050"/>
            <wp:wrapTight wrapText="bothSides">
              <wp:wrapPolygon edited="0">
                <wp:start x="-70" y="-90"/>
                <wp:lineTo x="-70" y="21600"/>
                <wp:lineTo x="21630" y="21600"/>
                <wp:lineTo x="21630" y="-90"/>
                <wp:lineTo x="-70" y="-9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16669" cy="4572000"/>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00F83382" w:rsidRPr="00F83382">
        <w:rPr>
          <w:b/>
          <w:bCs/>
          <w:sz w:val="22"/>
          <w:szCs w:val="22"/>
        </w:rPr>
        <w:t>Vulnerability Scores and Ranking.</w:t>
      </w:r>
      <w:r w:rsidR="00CC0E1A">
        <w:rPr>
          <w:b/>
          <w:bCs/>
          <w:sz w:val="22"/>
          <w:szCs w:val="22"/>
        </w:rPr>
        <w:t xml:space="preserve"> </w:t>
      </w:r>
      <w:r w:rsidR="00A97778">
        <w:rPr>
          <w:sz w:val="22"/>
          <w:szCs w:val="22"/>
        </w:rPr>
        <w:t xml:space="preserve">Based on the weighted quintile ranks analysis, we found Hot Springs, </w:t>
      </w:r>
      <w:r w:rsidR="00E10D09">
        <w:rPr>
          <w:sz w:val="22"/>
          <w:szCs w:val="22"/>
        </w:rPr>
        <w:t>Carbon</w:t>
      </w:r>
      <w:r w:rsidR="00A97778">
        <w:rPr>
          <w:sz w:val="22"/>
          <w:szCs w:val="22"/>
        </w:rPr>
        <w:t>,</w:t>
      </w:r>
      <w:r w:rsidR="00E10D09">
        <w:rPr>
          <w:sz w:val="22"/>
          <w:szCs w:val="22"/>
        </w:rPr>
        <w:t xml:space="preserve"> Natrona, Fremont, and</w:t>
      </w:r>
      <w:r w:rsidR="00A97778">
        <w:rPr>
          <w:sz w:val="22"/>
          <w:szCs w:val="22"/>
        </w:rPr>
        <w:t xml:space="preserve"> Sweetwater </w:t>
      </w:r>
      <w:r w:rsidR="003C126C">
        <w:rPr>
          <w:sz w:val="22"/>
          <w:szCs w:val="22"/>
        </w:rPr>
        <w:t>to be most vulnerable to opioid-related overdose death (Table 3</w:t>
      </w:r>
      <w:r w:rsidR="0083770C">
        <w:rPr>
          <w:sz w:val="22"/>
          <w:szCs w:val="22"/>
        </w:rPr>
        <w:t>, Figure 11</w:t>
      </w:r>
      <w:r w:rsidR="003C126C">
        <w:rPr>
          <w:sz w:val="22"/>
          <w:szCs w:val="22"/>
        </w:rPr>
        <w:t>)</w:t>
      </w:r>
      <w:r w:rsidR="00A97778">
        <w:rPr>
          <w:sz w:val="22"/>
          <w:szCs w:val="22"/>
        </w:rPr>
        <w:t xml:space="preserve">. </w:t>
      </w:r>
      <w:r w:rsidR="00E10D09">
        <w:rPr>
          <w:sz w:val="22"/>
          <w:szCs w:val="22"/>
        </w:rPr>
        <w:t>These counties typically ranked</w:t>
      </w:r>
      <w:r w:rsidR="00A97778">
        <w:rPr>
          <w:sz w:val="22"/>
          <w:szCs w:val="22"/>
        </w:rPr>
        <w:t xml:space="preserve"> </w:t>
      </w:r>
      <w:r w:rsidR="003C126C">
        <w:rPr>
          <w:sz w:val="22"/>
          <w:szCs w:val="22"/>
        </w:rPr>
        <w:t>highly</w:t>
      </w:r>
      <w:r w:rsidR="00A97778">
        <w:rPr>
          <w:sz w:val="22"/>
          <w:szCs w:val="22"/>
        </w:rPr>
        <w:t xml:space="preserve"> for core measures and covariates most often associated with fatal opioid overdose. </w:t>
      </w:r>
      <w:r w:rsidR="00E10D09">
        <w:rPr>
          <w:sz w:val="22"/>
          <w:szCs w:val="22"/>
        </w:rPr>
        <w:t xml:space="preserve">Hot Springs County ranked in the top quintile for all but one core measure (per capita income) and was in the top quintile for non-fatal drug poisoning hospitalizations and ER visits. Hot Springs, Carbon, Natrona, and Fremont ranked in the second highest category for fatal opioid-related overdose but the highest quintile for non-fatal drug poisoning hospitalizations. </w:t>
      </w:r>
    </w:p>
    <w:p w14:paraId="57B77623" w14:textId="77777777" w:rsidR="00CC0E1A" w:rsidRDefault="00CC0E1A" w:rsidP="00813B97">
      <w:pPr>
        <w:rPr>
          <w:sz w:val="22"/>
          <w:szCs w:val="22"/>
        </w:rPr>
        <w:sectPr w:rsidR="00CC0E1A" w:rsidSect="00573A4E">
          <w:pgSz w:w="12240" w:h="15840"/>
          <w:pgMar w:top="1440" w:right="1440" w:bottom="1440" w:left="1440" w:header="720" w:footer="720" w:gutter="0"/>
          <w:cols w:space="720"/>
          <w:titlePg/>
          <w:docGrid w:linePitch="360"/>
        </w:sectPr>
      </w:pPr>
    </w:p>
    <w:p w14:paraId="0BA2F8D9" w14:textId="14E7B44A" w:rsidR="00CC0E1A" w:rsidRDefault="003C126C" w:rsidP="00696D35">
      <w:pPr>
        <w:pStyle w:val="Caption"/>
        <w:keepNext/>
        <w:rPr>
          <w:sz w:val="22"/>
          <w:szCs w:val="22"/>
        </w:rPr>
      </w:pPr>
      <w:r w:rsidRPr="000F43B3">
        <w:rPr>
          <w:sz w:val="22"/>
          <w:szCs w:val="22"/>
        </w:rPr>
        <w:t xml:space="preserve">Table </w:t>
      </w:r>
      <w:r w:rsidRPr="000F43B3">
        <w:rPr>
          <w:sz w:val="22"/>
          <w:szCs w:val="22"/>
        </w:rPr>
        <w:fldChar w:fldCharType="begin"/>
      </w:r>
      <w:r w:rsidRPr="000F43B3">
        <w:rPr>
          <w:sz w:val="22"/>
          <w:szCs w:val="22"/>
        </w:rPr>
        <w:instrText xml:space="preserve"> SEQ Table \* ARABIC </w:instrText>
      </w:r>
      <w:r w:rsidRPr="000F43B3">
        <w:rPr>
          <w:sz w:val="22"/>
          <w:szCs w:val="22"/>
        </w:rPr>
        <w:fldChar w:fldCharType="separate"/>
      </w:r>
      <w:r w:rsidRPr="000F43B3">
        <w:rPr>
          <w:noProof/>
          <w:sz w:val="22"/>
          <w:szCs w:val="22"/>
        </w:rPr>
        <w:t>3</w:t>
      </w:r>
      <w:r w:rsidRPr="000F43B3">
        <w:rPr>
          <w:sz w:val="22"/>
          <w:szCs w:val="22"/>
        </w:rPr>
        <w:fldChar w:fldCharType="end"/>
      </w:r>
      <w:r w:rsidRPr="000F43B3">
        <w:rPr>
          <w:sz w:val="22"/>
          <w:szCs w:val="22"/>
        </w:rPr>
        <w:t xml:space="preserve">. Opioid vulnerability scores and </w:t>
      </w:r>
      <w:r w:rsidR="00696D35">
        <w:rPr>
          <w:sz w:val="22"/>
          <w:szCs w:val="22"/>
        </w:rPr>
        <w:t xml:space="preserve">quintile </w:t>
      </w:r>
      <w:r w:rsidRPr="000F43B3">
        <w:rPr>
          <w:sz w:val="22"/>
          <w:szCs w:val="22"/>
        </w:rPr>
        <w:t>ranks by county, Wyoming, 2020.</w:t>
      </w:r>
    </w:p>
    <w:tbl>
      <w:tblPr>
        <w:tblStyle w:val="PlainTable5"/>
        <w:tblW w:w="12624" w:type="dxa"/>
        <w:tblInd w:w="-5" w:type="dxa"/>
        <w:tblLayout w:type="fixed"/>
        <w:tblLook w:val="04A0" w:firstRow="1" w:lastRow="0" w:firstColumn="1" w:lastColumn="0" w:noHBand="0" w:noVBand="1"/>
      </w:tblPr>
      <w:tblGrid>
        <w:gridCol w:w="1283"/>
        <w:gridCol w:w="639"/>
        <w:gridCol w:w="549"/>
        <w:gridCol w:w="457"/>
        <w:gridCol w:w="549"/>
        <w:gridCol w:w="549"/>
        <w:gridCol w:w="457"/>
        <w:gridCol w:w="549"/>
        <w:gridCol w:w="549"/>
        <w:gridCol w:w="549"/>
        <w:gridCol w:w="640"/>
        <w:gridCol w:w="640"/>
        <w:gridCol w:w="640"/>
        <w:gridCol w:w="640"/>
        <w:gridCol w:w="549"/>
        <w:gridCol w:w="549"/>
        <w:gridCol w:w="549"/>
        <w:gridCol w:w="549"/>
        <w:gridCol w:w="915"/>
        <w:gridCol w:w="823"/>
      </w:tblGrid>
      <w:tr w:rsidR="000049B9" w:rsidRPr="00415161" w14:paraId="3497E973" w14:textId="77777777" w:rsidTr="000049B9">
        <w:trPr>
          <w:cnfStyle w:val="100000000000" w:firstRow="1" w:lastRow="0" w:firstColumn="0" w:lastColumn="0" w:oddVBand="0" w:evenVBand="0" w:oddHBand="0" w:evenHBand="0" w:firstRowFirstColumn="0" w:firstRowLastColumn="0" w:lastRowFirstColumn="0" w:lastRowLastColumn="0"/>
          <w:cantSplit/>
          <w:trHeight w:val="540"/>
        </w:trPr>
        <w:tc>
          <w:tcPr>
            <w:cnfStyle w:val="001000000100" w:firstRow="0" w:lastRow="0" w:firstColumn="1" w:lastColumn="0" w:oddVBand="0" w:evenVBand="0" w:oddHBand="0" w:evenHBand="0" w:firstRowFirstColumn="1" w:firstRowLastColumn="0" w:lastRowFirstColumn="0" w:lastRowLastColumn="0"/>
            <w:tcW w:w="2430" w:type="dxa"/>
            <w:gridSpan w:val="3"/>
            <w:tcBorders>
              <w:top w:val="single" w:sz="4" w:space="0" w:color="auto"/>
              <w:left w:val="single" w:sz="4" w:space="0" w:color="auto"/>
              <w:bottom w:val="single" w:sz="4" w:space="0" w:color="auto"/>
            </w:tcBorders>
            <w:noWrap/>
            <w:vAlign w:val="center"/>
          </w:tcPr>
          <w:p w14:paraId="16973896" w14:textId="77777777" w:rsidR="000049B9" w:rsidRPr="00415161" w:rsidRDefault="000049B9" w:rsidP="00330574">
            <w:pPr>
              <w:jc w:val="center"/>
              <w:rPr>
                <w:rFonts w:ascii="Arial" w:hAnsi="Arial" w:cs="Arial"/>
                <w:b/>
                <w:bCs/>
                <w:sz w:val="20"/>
                <w:szCs w:val="20"/>
              </w:rPr>
            </w:pPr>
          </w:p>
        </w:tc>
        <w:tc>
          <w:tcPr>
            <w:tcW w:w="2520" w:type="dxa"/>
            <w:gridSpan w:val="5"/>
            <w:tcBorders>
              <w:top w:val="single" w:sz="4" w:space="0" w:color="auto"/>
              <w:bottom w:val="single" w:sz="4" w:space="0" w:color="auto"/>
            </w:tcBorders>
            <w:noWrap/>
            <w:vAlign w:val="center"/>
          </w:tcPr>
          <w:p w14:paraId="4262A0CB" w14:textId="77777777" w:rsidR="000049B9" w:rsidRPr="00415161" w:rsidRDefault="000049B9" w:rsidP="00330574">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415161">
              <w:rPr>
                <w:rFonts w:ascii="Arial" w:hAnsi="Arial" w:cs="Arial"/>
                <w:b/>
                <w:bCs/>
                <w:sz w:val="20"/>
                <w:szCs w:val="20"/>
              </w:rPr>
              <w:t>Core Measures</w:t>
            </w:r>
          </w:p>
        </w:tc>
        <w:tc>
          <w:tcPr>
            <w:tcW w:w="7470" w:type="dxa"/>
            <w:gridSpan w:val="12"/>
            <w:tcBorders>
              <w:top w:val="single" w:sz="4" w:space="0" w:color="auto"/>
              <w:bottom w:val="single" w:sz="4" w:space="0" w:color="auto"/>
              <w:right w:val="single" w:sz="4" w:space="0" w:color="auto"/>
            </w:tcBorders>
            <w:noWrap/>
            <w:vAlign w:val="center"/>
          </w:tcPr>
          <w:p w14:paraId="5CBF5E77" w14:textId="4ED9E9E8" w:rsidR="000049B9" w:rsidRPr="00415161" w:rsidRDefault="000049B9" w:rsidP="00330574">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415161">
              <w:rPr>
                <w:rFonts w:ascii="Arial" w:hAnsi="Arial" w:cs="Arial"/>
                <w:b/>
                <w:bCs/>
                <w:sz w:val="20"/>
                <w:szCs w:val="20"/>
              </w:rPr>
              <w:t>Covariates</w:t>
            </w:r>
          </w:p>
        </w:tc>
      </w:tr>
      <w:tr w:rsidR="005F757D" w:rsidRPr="00415161" w14:paraId="14962B68" w14:textId="77777777" w:rsidTr="000049B9">
        <w:trPr>
          <w:cnfStyle w:val="000000100000" w:firstRow="0" w:lastRow="0" w:firstColumn="0" w:lastColumn="0" w:oddVBand="0" w:evenVBand="0" w:oddHBand="1" w:evenHBand="0" w:firstRowFirstColumn="0" w:firstRowLastColumn="0" w:lastRowFirstColumn="0" w:lastRowLastColumn="0"/>
          <w:cantSplit/>
          <w:trHeight w:val="2160"/>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left w:val="single" w:sz="4" w:space="0" w:color="auto"/>
              <w:bottom w:val="single" w:sz="4" w:space="0" w:color="auto"/>
              <w:right w:val="single" w:sz="4" w:space="0" w:color="auto"/>
            </w:tcBorders>
            <w:noWrap/>
            <w:vAlign w:val="bottom"/>
            <w:hideMark/>
          </w:tcPr>
          <w:p w14:paraId="42E3C209" w14:textId="77777777" w:rsidR="000049B9" w:rsidRPr="00415161" w:rsidRDefault="000049B9" w:rsidP="00330574">
            <w:pPr>
              <w:rPr>
                <w:rFonts w:ascii="Arial" w:eastAsia="Times New Roman" w:hAnsi="Arial" w:cs="Arial"/>
                <w:b/>
                <w:bCs/>
                <w:i w:val="0"/>
                <w:iCs w:val="0"/>
                <w:sz w:val="20"/>
                <w:szCs w:val="20"/>
              </w:rPr>
            </w:pPr>
            <w:r w:rsidRPr="00415161">
              <w:rPr>
                <w:rFonts w:ascii="Arial" w:hAnsi="Arial" w:cs="Arial"/>
                <w:b/>
                <w:bCs/>
                <w:sz w:val="20"/>
                <w:szCs w:val="20"/>
              </w:rPr>
              <w:t>County</w:t>
            </w:r>
          </w:p>
        </w:tc>
        <w:tc>
          <w:tcPr>
            <w:tcW w:w="629" w:type="dxa"/>
            <w:tcBorders>
              <w:top w:val="single" w:sz="4" w:space="0" w:color="auto"/>
              <w:left w:val="single" w:sz="4" w:space="0" w:color="auto"/>
              <w:bottom w:val="single" w:sz="4" w:space="0" w:color="auto"/>
            </w:tcBorders>
            <w:noWrap/>
            <w:textDirection w:val="btLr"/>
            <w:vAlign w:val="center"/>
            <w:hideMark/>
          </w:tcPr>
          <w:p w14:paraId="3697A445" w14:textId="77777777" w:rsidR="000049B9" w:rsidRPr="00210AC8"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Total Score</w:t>
            </w:r>
          </w:p>
        </w:tc>
        <w:tc>
          <w:tcPr>
            <w:tcW w:w="540" w:type="dxa"/>
            <w:tcBorders>
              <w:top w:val="single" w:sz="4" w:space="0" w:color="auto"/>
              <w:bottom w:val="single" w:sz="4" w:space="0" w:color="auto"/>
              <w:right w:val="single" w:sz="4" w:space="0" w:color="auto"/>
            </w:tcBorders>
            <w:noWrap/>
            <w:textDirection w:val="btLr"/>
            <w:vAlign w:val="center"/>
            <w:hideMark/>
          </w:tcPr>
          <w:p w14:paraId="7285AC1A" w14:textId="77777777" w:rsidR="000049B9" w:rsidRPr="00210AC8"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Rank</w:t>
            </w:r>
          </w:p>
        </w:tc>
        <w:tc>
          <w:tcPr>
            <w:tcW w:w="450" w:type="dxa"/>
            <w:tcBorders>
              <w:top w:val="single" w:sz="4" w:space="0" w:color="auto"/>
              <w:left w:val="single" w:sz="4" w:space="0" w:color="auto"/>
              <w:bottom w:val="single" w:sz="4" w:space="0" w:color="auto"/>
            </w:tcBorders>
            <w:noWrap/>
            <w:textDirection w:val="btLr"/>
            <w:vAlign w:val="center"/>
            <w:hideMark/>
          </w:tcPr>
          <w:p w14:paraId="0D2854C3"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Opioid OD</w:t>
            </w:r>
          </w:p>
        </w:tc>
        <w:tc>
          <w:tcPr>
            <w:tcW w:w="540" w:type="dxa"/>
            <w:tcBorders>
              <w:top w:val="single" w:sz="4" w:space="0" w:color="auto"/>
              <w:bottom w:val="single" w:sz="4" w:space="0" w:color="auto"/>
            </w:tcBorders>
            <w:noWrap/>
            <w:textDirection w:val="btLr"/>
            <w:vAlign w:val="center"/>
            <w:hideMark/>
          </w:tcPr>
          <w:p w14:paraId="5F48854B"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Chronic HCV</w:t>
            </w:r>
          </w:p>
        </w:tc>
        <w:tc>
          <w:tcPr>
            <w:tcW w:w="540" w:type="dxa"/>
            <w:tcBorders>
              <w:top w:val="single" w:sz="4" w:space="0" w:color="auto"/>
              <w:bottom w:val="single" w:sz="4" w:space="0" w:color="auto"/>
            </w:tcBorders>
            <w:noWrap/>
            <w:textDirection w:val="btLr"/>
            <w:vAlign w:val="center"/>
            <w:hideMark/>
          </w:tcPr>
          <w:p w14:paraId="7C2E80E2"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Drug-Related Arrest</w:t>
            </w:r>
          </w:p>
        </w:tc>
        <w:tc>
          <w:tcPr>
            <w:tcW w:w="450" w:type="dxa"/>
            <w:tcBorders>
              <w:top w:val="single" w:sz="4" w:space="0" w:color="auto"/>
              <w:bottom w:val="single" w:sz="4" w:space="0" w:color="auto"/>
            </w:tcBorders>
            <w:noWrap/>
            <w:textDirection w:val="btLr"/>
            <w:vAlign w:val="center"/>
            <w:hideMark/>
          </w:tcPr>
          <w:p w14:paraId="1F135ADC"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Per capita income</w:t>
            </w:r>
          </w:p>
        </w:tc>
        <w:tc>
          <w:tcPr>
            <w:tcW w:w="540" w:type="dxa"/>
            <w:tcBorders>
              <w:top w:val="single" w:sz="4" w:space="0" w:color="auto"/>
              <w:bottom w:val="single" w:sz="4" w:space="0" w:color="auto"/>
              <w:right w:val="single" w:sz="4" w:space="0" w:color="auto"/>
            </w:tcBorders>
            <w:noWrap/>
            <w:textDirection w:val="btLr"/>
            <w:vAlign w:val="center"/>
            <w:hideMark/>
          </w:tcPr>
          <w:p w14:paraId="44916E08"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Opioid Rx</w:t>
            </w:r>
          </w:p>
        </w:tc>
        <w:tc>
          <w:tcPr>
            <w:tcW w:w="540" w:type="dxa"/>
            <w:tcBorders>
              <w:top w:val="single" w:sz="4" w:space="0" w:color="auto"/>
              <w:left w:val="single" w:sz="4" w:space="0" w:color="auto"/>
              <w:bottom w:val="single" w:sz="4" w:space="0" w:color="auto"/>
            </w:tcBorders>
            <w:noWrap/>
            <w:textDirection w:val="btLr"/>
            <w:vAlign w:val="center"/>
            <w:hideMark/>
          </w:tcPr>
          <w:p w14:paraId="1A370705"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 Renters</w:t>
            </w:r>
          </w:p>
        </w:tc>
        <w:tc>
          <w:tcPr>
            <w:tcW w:w="540" w:type="dxa"/>
            <w:tcBorders>
              <w:top w:val="single" w:sz="4" w:space="0" w:color="auto"/>
              <w:bottom w:val="single" w:sz="4" w:space="0" w:color="auto"/>
            </w:tcBorders>
            <w:noWrap/>
            <w:textDirection w:val="btLr"/>
            <w:vAlign w:val="center"/>
            <w:hideMark/>
          </w:tcPr>
          <w:p w14:paraId="4C1503B0"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 Married couple HH</w:t>
            </w:r>
          </w:p>
        </w:tc>
        <w:tc>
          <w:tcPr>
            <w:tcW w:w="630" w:type="dxa"/>
            <w:tcBorders>
              <w:top w:val="single" w:sz="4" w:space="0" w:color="auto"/>
              <w:bottom w:val="single" w:sz="4" w:space="0" w:color="auto"/>
            </w:tcBorders>
            <w:noWrap/>
            <w:textDirection w:val="btLr"/>
            <w:vAlign w:val="center"/>
            <w:hideMark/>
          </w:tcPr>
          <w:p w14:paraId="5D3B4B9B"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 Female-led HH</w:t>
            </w:r>
          </w:p>
        </w:tc>
        <w:tc>
          <w:tcPr>
            <w:tcW w:w="630" w:type="dxa"/>
            <w:tcBorders>
              <w:top w:val="single" w:sz="4" w:space="0" w:color="auto"/>
              <w:bottom w:val="single" w:sz="4" w:space="0" w:color="auto"/>
            </w:tcBorders>
            <w:noWrap/>
            <w:textDirection w:val="btLr"/>
            <w:vAlign w:val="center"/>
            <w:hideMark/>
          </w:tcPr>
          <w:p w14:paraId="46D05CE3"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 Uninsured</w:t>
            </w:r>
          </w:p>
        </w:tc>
        <w:tc>
          <w:tcPr>
            <w:tcW w:w="630" w:type="dxa"/>
            <w:tcBorders>
              <w:top w:val="single" w:sz="4" w:space="0" w:color="auto"/>
              <w:bottom w:val="single" w:sz="4" w:space="0" w:color="auto"/>
            </w:tcBorders>
            <w:noWrap/>
            <w:textDirection w:val="btLr"/>
            <w:vAlign w:val="center"/>
            <w:hideMark/>
          </w:tcPr>
          <w:p w14:paraId="428859AA"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 No vehicle</w:t>
            </w:r>
          </w:p>
        </w:tc>
        <w:tc>
          <w:tcPr>
            <w:tcW w:w="630" w:type="dxa"/>
            <w:tcBorders>
              <w:top w:val="single" w:sz="4" w:space="0" w:color="auto"/>
              <w:bottom w:val="single" w:sz="4" w:space="0" w:color="auto"/>
            </w:tcBorders>
            <w:noWrap/>
            <w:textDirection w:val="btLr"/>
            <w:vAlign w:val="center"/>
            <w:hideMark/>
          </w:tcPr>
          <w:p w14:paraId="03E4A980"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 NH White</w:t>
            </w:r>
          </w:p>
        </w:tc>
        <w:tc>
          <w:tcPr>
            <w:tcW w:w="540" w:type="dxa"/>
            <w:tcBorders>
              <w:top w:val="single" w:sz="4" w:space="0" w:color="auto"/>
              <w:bottom w:val="single" w:sz="4" w:space="0" w:color="auto"/>
            </w:tcBorders>
            <w:noWrap/>
            <w:textDirection w:val="btLr"/>
            <w:vAlign w:val="center"/>
            <w:hideMark/>
          </w:tcPr>
          <w:p w14:paraId="764745B3"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HIDTA</w:t>
            </w:r>
          </w:p>
        </w:tc>
        <w:tc>
          <w:tcPr>
            <w:tcW w:w="540" w:type="dxa"/>
            <w:tcBorders>
              <w:top w:val="single" w:sz="4" w:space="0" w:color="auto"/>
              <w:bottom w:val="single" w:sz="4" w:space="0" w:color="auto"/>
            </w:tcBorders>
            <w:noWrap/>
            <w:textDirection w:val="btLr"/>
            <w:vAlign w:val="center"/>
            <w:hideMark/>
          </w:tcPr>
          <w:p w14:paraId="2749D8B1"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 Male</w:t>
            </w:r>
          </w:p>
        </w:tc>
        <w:tc>
          <w:tcPr>
            <w:tcW w:w="540" w:type="dxa"/>
            <w:tcBorders>
              <w:top w:val="single" w:sz="4" w:space="0" w:color="auto"/>
              <w:bottom w:val="single" w:sz="4" w:space="0" w:color="auto"/>
            </w:tcBorders>
            <w:noWrap/>
            <w:textDirection w:val="btLr"/>
            <w:vAlign w:val="center"/>
            <w:hideMark/>
          </w:tcPr>
          <w:p w14:paraId="570AD118"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Gini index</w:t>
            </w:r>
          </w:p>
        </w:tc>
        <w:tc>
          <w:tcPr>
            <w:tcW w:w="540" w:type="dxa"/>
            <w:tcBorders>
              <w:top w:val="single" w:sz="4" w:space="0" w:color="auto"/>
              <w:bottom w:val="single" w:sz="4" w:space="0" w:color="auto"/>
            </w:tcBorders>
            <w:noWrap/>
            <w:textDirection w:val="btLr"/>
            <w:vAlign w:val="center"/>
            <w:hideMark/>
          </w:tcPr>
          <w:p w14:paraId="55047AE8"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 Without Internet</w:t>
            </w:r>
          </w:p>
        </w:tc>
        <w:tc>
          <w:tcPr>
            <w:tcW w:w="900" w:type="dxa"/>
            <w:tcBorders>
              <w:top w:val="single" w:sz="4" w:space="0" w:color="auto"/>
              <w:bottom w:val="single" w:sz="4" w:space="0" w:color="auto"/>
            </w:tcBorders>
            <w:noWrap/>
            <w:textDirection w:val="btLr"/>
            <w:vAlign w:val="center"/>
            <w:hideMark/>
          </w:tcPr>
          <w:p w14:paraId="27EBF36B"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Non-fatal drug poisoning hospitalization</w:t>
            </w:r>
          </w:p>
        </w:tc>
        <w:tc>
          <w:tcPr>
            <w:tcW w:w="810" w:type="dxa"/>
            <w:tcBorders>
              <w:top w:val="single" w:sz="4" w:space="0" w:color="auto"/>
              <w:bottom w:val="single" w:sz="4" w:space="0" w:color="auto"/>
              <w:right w:val="single" w:sz="4" w:space="0" w:color="auto"/>
            </w:tcBorders>
            <w:noWrap/>
            <w:textDirection w:val="btLr"/>
            <w:vAlign w:val="center"/>
            <w:hideMark/>
          </w:tcPr>
          <w:p w14:paraId="21E6213F" w14:textId="77777777" w:rsidR="000049B9" w:rsidRPr="00415161" w:rsidRDefault="000049B9" w:rsidP="00330574">
            <w:pPr>
              <w:ind w:left="113"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Non-fatal drug poisoning ER</w:t>
            </w:r>
            <w:r>
              <w:rPr>
                <w:rFonts w:ascii="Arial" w:hAnsi="Arial" w:cs="Arial"/>
                <w:sz w:val="20"/>
                <w:szCs w:val="20"/>
              </w:rPr>
              <w:t xml:space="preserve"> visits</w:t>
            </w:r>
          </w:p>
        </w:tc>
      </w:tr>
      <w:tr w:rsidR="000049B9" w:rsidRPr="00415161" w14:paraId="384FC646" w14:textId="77777777" w:rsidTr="000049B9">
        <w:trPr>
          <w:trHeight w:val="255"/>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left w:val="single" w:sz="4" w:space="0" w:color="auto"/>
              <w:right w:val="single" w:sz="4" w:space="0" w:color="auto"/>
            </w:tcBorders>
            <w:noWrap/>
            <w:vAlign w:val="bottom"/>
          </w:tcPr>
          <w:p w14:paraId="600BED20"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Hot Springs</w:t>
            </w:r>
          </w:p>
        </w:tc>
        <w:tc>
          <w:tcPr>
            <w:tcW w:w="629" w:type="dxa"/>
            <w:tcBorders>
              <w:top w:val="single" w:sz="4" w:space="0" w:color="auto"/>
              <w:left w:val="single" w:sz="4" w:space="0" w:color="auto"/>
            </w:tcBorders>
            <w:noWrap/>
            <w:vAlign w:val="bottom"/>
          </w:tcPr>
          <w:p w14:paraId="4494D53E"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109</w:t>
            </w:r>
          </w:p>
        </w:tc>
        <w:tc>
          <w:tcPr>
            <w:tcW w:w="540" w:type="dxa"/>
            <w:tcBorders>
              <w:top w:val="single" w:sz="4" w:space="0" w:color="auto"/>
              <w:right w:val="single" w:sz="4" w:space="0" w:color="auto"/>
            </w:tcBorders>
            <w:noWrap/>
            <w:vAlign w:val="bottom"/>
          </w:tcPr>
          <w:p w14:paraId="1CC58597"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1</w:t>
            </w:r>
          </w:p>
        </w:tc>
        <w:tc>
          <w:tcPr>
            <w:tcW w:w="450" w:type="dxa"/>
            <w:tcBorders>
              <w:top w:val="single" w:sz="4" w:space="0" w:color="auto"/>
              <w:left w:val="single" w:sz="4" w:space="0" w:color="auto"/>
            </w:tcBorders>
            <w:noWrap/>
            <w:vAlign w:val="bottom"/>
          </w:tcPr>
          <w:p w14:paraId="60A2B211"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top w:val="single" w:sz="4" w:space="0" w:color="auto"/>
            </w:tcBorders>
            <w:noWrap/>
            <w:vAlign w:val="bottom"/>
          </w:tcPr>
          <w:p w14:paraId="5C962990"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top w:val="single" w:sz="4" w:space="0" w:color="auto"/>
            </w:tcBorders>
            <w:noWrap/>
            <w:vAlign w:val="bottom"/>
          </w:tcPr>
          <w:p w14:paraId="07C56F0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450" w:type="dxa"/>
            <w:tcBorders>
              <w:top w:val="single" w:sz="4" w:space="0" w:color="auto"/>
            </w:tcBorders>
            <w:noWrap/>
            <w:vAlign w:val="bottom"/>
          </w:tcPr>
          <w:p w14:paraId="3C4120B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tcBorders>
              <w:top w:val="single" w:sz="4" w:space="0" w:color="auto"/>
              <w:right w:val="single" w:sz="4" w:space="0" w:color="auto"/>
            </w:tcBorders>
            <w:noWrap/>
            <w:vAlign w:val="bottom"/>
          </w:tcPr>
          <w:p w14:paraId="299180D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top w:val="single" w:sz="4" w:space="0" w:color="auto"/>
              <w:left w:val="single" w:sz="4" w:space="0" w:color="auto"/>
            </w:tcBorders>
            <w:noWrap/>
            <w:vAlign w:val="bottom"/>
          </w:tcPr>
          <w:p w14:paraId="4E07DEC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tcBorders>
              <w:top w:val="single" w:sz="4" w:space="0" w:color="auto"/>
            </w:tcBorders>
            <w:noWrap/>
            <w:vAlign w:val="bottom"/>
          </w:tcPr>
          <w:p w14:paraId="1EFAD7C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tcBorders>
              <w:top w:val="single" w:sz="4" w:space="0" w:color="auto"/>
            </w:tcBorders>
            <w:noWrap/>
            <w:vAlign w:val="bottom"/>
          </w:tcPr>
          <w:p w14:paraId="1835CD4F"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tcBorders>
              <w:top w:val="single" w:sz="4" w:space="0" w:color="auto"/>
            </w:tcBorders>
            <w:noWrap/>
            <w:vAlign w:val="bottom"/>
          </w:tcPr>
          <w:p w14:paraId="6312108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tcBorders>
              <w:top w:val="single" w:sz="4" w:space="0" w:color="auto"/>
            </w:tcBorders>
            <w:noWrap/>
            <w:vAlign w:val="bottom"/>
          </w:tcPr>
          <w:p w14:paraId="47105000"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tcBorders>
              <w:top w:val="single" w:sz="4" w:space="0" w:color="auto"/>
            </w:tcBorders>
            <w:noWrap/>
            <w:vAlign w:val="bottom"/>
          </w:tcPr>
          <w:p w14:paraId="57D9E4B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top w:val="single" w:sz="4" w:space="0" w:color="auto"/>
            </w:tcBorders>
            <w:noWrap/>
            <w:vAlign w:val="bottom"/>
          </w:tcPr>
          <w:p w14:paraId="5D29379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tcBorders>
              <w:top w:val="single" w:sz="4" w:space="0" w:color="auto"/>
            </w:tcBorders>
            <w:noWrap/>
            <w:vAlign w:val="bottom"/>
          </w:tcPr>
          <w:p w14:paraId="1145C11F"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tcBorders>
              <w:top w:val="single" w:sz="4" w:space="0" w:color="auto"/>
            </w:tcBorders>
            <w:noWrap/>
            <w:vAlign w:val="bottom"/>
          </w:tcPr>
          <w:p w14:paraId="3C0E770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tcBorders>
              <w:top w:val="single" w:sz="4" w:space="0" w:color="auto"/>
            </w:tcBorders>
            <w:noWrap/>
            <w:vAlign w:val="bottom"/>
          </w:tcPr>
          <w:p w14:paraId="11F8832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900" w:type="dxa"/>
            <w:tcBorders>
              <w:top w:val="single" w:sz="4" w:space="0" w:color="auto"/>
            </w:tcBorders>
            <w:noWrap/>
            <w:vAlign w:val="bottom"/>
          </w:tcPr>
          <w:p w14:paraId="05CB8F6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810" w:type="dxa"/>
            <w:tcBorders>
              <w:top w:val="single" w:sz="4" w:space="0" w:color="auto"/>
              <w:right w:val="single" w:sz="4" w:space="0" w:color="auto"/>
            </w:tcBorders>
            <w:noWrap/>
            <w:vAlign w:val="bottom"/>
          </w:tcPr>
          <w:p w14:paraId="6D4983B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r>
      <w:tr w:rsidR="000049B9" w:rsidRPr="00415161" w14:paraId="0F878AC3" w14:textId="77777777" w:rsidTr="000049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67763262"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Carbon</w:t>
            </w:r>
          </w:p>
        </w:tc>
        <w:tc>
          <w:tcPr>
            <w:tcW w:w="629" w:type="dxa"/>
            <w:tcBorders>
              <w:left w:val="single" w:sz="4" w:space="0" w:color="auto"/>
            </w:tcBorders>
            <w:noWrap/>
            <w:vAlign w:val="bottom"/>
            <w:hideMark/>
          </w:tcPr>
          <w:p w14:paraId="3C77DA54"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96</w:t>
            </w:r>
          </w:p>
        </w:tc>
        <w:tc>
          <w:tcPr>
            <w:tcW w:w="540" w:type="dxa"/>
            <w:tcBorders>
              <w:right w:val="single" w:sz="4" w:space="0" w:color="auto"/>
            </w:tcBorders>
            <w:noWrap/>
            <w:vAlign w:val="bottom"/>
            <w:hideMark/>
          </w:tcPr>
          <w:p w14:paraId="5CFFA49A"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2</w:t>
            </w:r>
          </w:p>
        </w:tc>
        <w:tc>
          <w:tcPr>
            <w:tcW w:w="450" w:type="dxa"/>
            <w:tcBorders>
              <w:left w:val="single" w:sz="4" w:space="0" w:color="auto"/>
            </w:tcBorders>
            <w:noWrap/>
            <w:vAlign w:val="bottom"/>
            <w:hideMark/>
          </w:tcPr>
          <w:p w14:paraId="565A8AD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6A8D9E0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55F4E57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450" w:type="dxa"/>
            <w:noWrap/>
            <w:vAlign w:val="bottom"/>
            <w:hideMark/>
          </w:tcPr>
          <w:p w14:paraId="2F13B510"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tcBorders>
              <w:right w:val="single" w:sz="4" w:space="0" w:color="auto"/>
            </w:tcBorders>
            <w:noWrap/>
            <w:vAlign w:val="bottom"/>
            <w:hideMark/>
          </w:tcPr>
          <w:p w14:paraId="2215EE72"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tcBorders>
              <w:left w:val="single" w:sz="4" w:space="0" w:color="auto"/>
            </w:tcBorders>
            <w:noWrap/>
            <w:vAlign w:val="bottom"/>
            <w:hideMark/>
          </w:tcPr>
          <w:p w14:paraId="3E6957C4"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6A58D790"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6D52959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14419960"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33A5B159"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7691630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42909FC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414EF4A8"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0D0C9691"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36F901B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900" w:type="dxa"/>
            <w:noWrap/>
            <w:vAlign w:val="bottom"/>
            <w:hideMark/>
          </w:tcPr>
          <w:p w14:paraId="09C44099"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810" w:type="dxa"/>
            <w:tcBorders>
              <w:right w:val="single" w:sz="4" w:space="0" w:color="auto"/>
            </w:tcBorders>
            <w:noWrap/>
            <w:vAlign w:val="bottom"/>
            <w:hideMark/>
          </w:tcPr>
          <w:p w14:paraId="48EEE301"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r>
      <w:tr w:rsidR="000049B9" w:rsidRPr="00415161" w14:paraId="3A49CE8E" w14:textId="77777777" w:rsidTr="000049B9">
        <w:trPr>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5DE315CF"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Natrona</w:t>
            </w:r>
          </w:p>
        </w:tc>
        <w:tc>
          <w:tcPr>
            <w:tcW w:w="629" w:type="dxa"/>
            <w:tcBorders>
              <w:left w:val="single" w:sz="4" w:space="0" w:color="auto"/>
            </w:tcBorders>
            <w:noWrap/>
            <w:vAlign w:val="bottom"/>
            <w:hideMark/>
          </w:tcPr>
          <w:p w14:paraId="6BC87E2A"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96</w:t>
            </w:r>
          </w:p>
        </w:tc>
        <w:tc>
          <w:tcPr>
            <w:tcW w:w="540" w:type="dxa"/>
            <w:tcBorders>
              <w:right w:val="single" w:sz="4" w:space="0" w:color="auto"/>
            </w:tcBorders>
            <w:noWrap/>
            <w:vAlign w:val="bottom"/>
            <w:hideMark/>
          </w:tcPr>
          <w:p w14:paraId="059CF48B"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3</w:t>
            </w:r>
          </w:p>
        </w:tc>
        <w:tc>
          <w:tcPr>
            <w:tcW w:w="450" w:type="dxa"/>
            <w:tcBorders>
              <w:left w:val="single" w:sz="4" w:space="0" w:color="auto"/>
            </w:tcBorders>
            <w:noWrap/>
            <w:vAlign w:val="bottom"/>
            <w:hideMark/>
          </w:tcPr>
          <w:p w14:paraId="715E1F88"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42EC9699"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095A3E88"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450" w:type="dxa"/>
            <w:noWrap/>
            <w:vAlign w:val="bottom"/>
            <w:hideMark/>
          </w:tcPr>
          <w:p w14:paraId="661D9DC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tcBorders>
              <w:right w:val="single" w:sz="4" w:space="0" w:color="auto"/>
            </w:tcBorders>
            <w:noWrap/>
            <w:vAlign w:val="bottom"/>
            <w:hideMark/>
          </w:tcPr>
          <w:p w14:paraId="193BBCB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tcBorders>
              <w:left w:val="single" w:sz="4" w:space="0" w:color="auto"/>
            </w:tcBorders>
            <w:noWrap/>
            <w:vAlign w:val="bottom"/>
            <w:hideMark/>
          </w:tcPr>
          <w:p w14:paraId="23C4240F"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36A809E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67917E98"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53B28195"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02220E58"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6F8CF7F1"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0E10DEA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383B62A6"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59443EF0"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2A2F65B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900" w:type="dxa"/>
            <w:noWrap/>
            <w:vAlign w:val="bottom"/>
            <w:hideMark/>
          </w:tcPr>
          <w:p w14:paraId="775DDFD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810" w:type="dxa"/>
            <w:tcBorders>
              <w:right w:val="single" w:sz="4" w:space="0" w:color="auto"/>
            </w:tcBorders>
            <w:noWrap/>
            <w:vAlign w:val="bottom"/>
            <w:hideMark/>
          </w:tcPr>
          <w:p w14:paraId="67621EF0"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r>
      <w:tr w:rsidR="000049B9" w:rsidRPr="00415161" w14:paraId="1EF28C9E" w14:textId="77777777" w:rsidTr="000049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3C85F09B"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Fremont</w:t>
            </w:r>
          </w:p>
        </w:tc>
        <w:tc>
          <w:tcPr>
            <w:tcW w:w="629" w:type="dxa"/>
            <w:tcBorders>
              <w:left w:val="single" w:sz="4" w:space="0" w:color="auto"/>
            </w:tcBorders>
            <w:noWrap/>
            <w:vAlign w:val="bottom"/>
            <w:hideMark/>
          </w:tcPr>
          <w:p w14:paraId="796C4E09"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92</w:t>
            </w:r>
          </w:p>
        </w:tc>
        <w:tc>
          <w:tcPr>
            <w:tcW w:w="540" w:type="dxa"/>
            <w:tcBorders>
              <w:right w:val="single" w:sz="4" w:space="0" w:color="auto"/>
            </w:tcBorders>
            <w:noWrap/>
            <w:vAlign w:val="bottom"/>
            <w:hideMark/>
          </w:tcPr>
          <w:p w14:paraId="4AFAA668"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4</w:t>
            </w:r>
          </w:p>
        </w:tc>
        <w:tc>
          <w:tcPr>
            <w:tcW w:w="450" w:type="dxa"/>
            <w:tcBorders>
              <w:left w:val="single" w:sz="4" w:space="0" w:color="auto"/>
            </w:tcBorders>
            <w:noWrap/>
            <w:vAlign w:val="bottom"/>
            <w:hideMark/>
          </w:tcPr>
          <w:p w14:paraId="0CCEB66E"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71395AD9"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405F1C3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450" w:type="dxa"/>
            <w:noWrap/>
            <w:vAlign w:val="bottom"/>
            <w:hideMark/>
          </w:tcPr>
          <w:p w14:paraId="1BCA1451"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tcBorders>
              <w:right w:val="single" w:sz="4" w:space="0" w:color="auto"/>
            </w:tcBorders>
            <w:noWrap/>
            <w:vAlign w:val="bottom"/>
            <w:hideMark/>
          </w:tcPr>
          <w:p w14:paraId="327A32F4"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tcBorders>
              <w:left w:val="single" w:sz="4" w:space="0" w:color="auto"/>
            </w:tcBorders>
            <w:noWrap/>
            <w:vAlign w:val="bottom"/>
            <w:hideMark/>
          </w:tcPr>
          <w:p w14:paraId="15019814"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7933FE2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5AA9CB33"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3EE543D0"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7C6745B2"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20E9B447"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40B5CFF3"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19F7740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452BB0D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382D43E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900" w:type="dxa"/>
            <w:noWrap/>
            <w:vAlign w:val="bottom"/>
            <w:hideMark/>
          </w:tcPr>
          <w:p w14:paraId="3B9326E0"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810" w:type="dxa"/>
            <w:tcBorders>
              <w:right w:val="single" w:sz="4" w:space="0" w:color="auto"/>
            </w:tcBorders>
            <w:noWrap/>
            <w:vAlign w:val="bottom"/>
            <w:hideMark/>
          </w:tcPr>
          <w:p w14:paraId="17472210"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r>
      <w:tr w:rsidR="000049B9" w:rsidRPr="00415161" w14:paraId="63869071" w14:textId="77777777" w:rsidTr="000049B9">
        <w:trPr>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5A0943D7"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Sweetwater</w:t>
            </w:r>
          </w:p>
        </w:tc>
        <w:tc>
          <w:tcPr>
            <w:tcW w:w="629" w:type="dxa"/>
            <w:tcBorders>
              <w:left w:val="single" w:sz="4" w:space="0" w:color="auto"/>
            </w:tcBorders>
            <w:noWrap/>
            <w:vAlign w:val="bottom"/>
            <w:hideMark/>
          </w:tcPr>
          <w:p w14:paraId="307C8305"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87</w:t>
            </w:r>
          </w:p>
        </w:tc>
        <w:tc>
          <w:tcPr>
            <w:tcW w:w="540" w:type="dxa"/>
            <w:tcBorders>
              <w:right w:val="single" w:sz="4" w:space="0" w:color="auto"/>
            </w:tcBorders>
            <w:noWrap/>
            <w:vAlign w:val="bottom"/>
            <w:hideMark/>
          </w:tcPr>
          <w:p w14:paraId="33BB3095"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5</w:t>
            </w:r>
          </w:p>
        </w:tc>
        <w:tc>
          <w:tcPr>
            <w:tcW w:w="450" w:type="dxa"/>
            <w:tcBorders>
              <w:left w:val="single" w:sz="4" w:space="0" w:color="auto"/>
            </w:tcBorders>
            <w:noWrap/>
            <w:vAlign w:val="bottom"/>
            <w:hideMark/>
          </w:tcPr>
          <w:p w14:paraId="2F438ED5"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4DCB5EE4"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0E041EAF"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450" w:type="dxa"/>
            <w:noWrap/>
            <w:vAlign w:val="bottom"/>
            <w:hideMark/>
          </w:tcPr>
          <w:p w14:paraId="4F19C87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tcBorders>
              <w:right w:val="single" w:sz="4" w:space="0" w:color="auto"/>
            </w:tcBorders>
            <w:noWrap/>
            <w:vAlign w:val="bottom"/>
            <w:hideMark/>
          </w:tcPr>
          <w:p w14:paraId="2B2D1DA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left w:val="single" w:sz="4" w:space="0" w:color="auto"/>
            </w:tcBorders>
            <w:noWrap/>
            <w:vAlign w:val="bottom"/>
            <w:hideMark/>
          </w:tcPr>
          <w:p w14:paraId="7CD6887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4D3F564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11DD385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6EC7EA1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066CC8A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16599298"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05599D5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59F627C9"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53613CA9"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5460F5C9"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900" w:type="dxa"/>
            <w:noWrap/>
            <w:vAlign w:val="bottom"/>
            <w:hideMark/>
          </w:tcPr>
          <w:p w14:paraId="26C20A6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810" w:type="dxa"/>
            <w:tcBorders>
              <w:right w:val="single" w:sz="4" w:space="0" w:color="auto"/>
            </w:tcBorders>
            <w:noWrap/>
            <w:vAlign w:val="bottom"/>
            <w:hideMark/>
          </w:tcPr>
          <w:p w14:paraId="7D16820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r>
      <w:tr w:rsidR="000049B9" w:rsidRPr="00415161" w14:paraId="605550F9" w14:textId="77777777" w:rsidTr="000049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3C6039DC"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Uinta</w:t>
            </w:r>
          </w:p>
        </w:tc>
        <w:tc>
          <w:tcPr>
            <w:tcW w:w="629" w:type="dxa"/>
            <w:tcBorders>
              <w:left w:val="single" w:sz="4" w:space="0" w:color="auto"/>
            </w:tcBorders>
            <w:noWrap/>
            <w:vAlign w:val="bottom"/>
            <w:hideMark/>
          </w:tcPr>
          <w:p w14:paraId="52987B99"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87</w:t>
            </w:r>
          </w:p>
        </w:tc>
        <w:tc>
          <w:tcPr>
            <w:tcW w:w="540" w:type="dxa"/>
            <w:tcBorders>
              <w:right w:val="single" w:sz="4" w:space="0" w:color="auto"/>
            </w:tcBorders>
            <w:noWrap/>
            <w:vAlign w:val="bottom"/>
            <w:hideMark/>
          </w:tcPr>
          <w:p w14:paraId="3ECA6BC8"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6</w:t>
            </w:r>
          </w:p>
        </w:tc>
        <w:tc>
          <w:tcPr>
            <w:tcW w:w="450" w:type="dxa"/>
            <w:tcBorders>
              <w:left w:val="single" w:sz="4" w:space="0" w:color="auto"/>
            </w:tcBorders>
            <w:noWrap/>
            <w:vAlign w:val="bottom"/>
            <w:hideMark/>
          </w:tcPr>
          <w:p w14:paraId="7695B144"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67BE8732"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13556EF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450" w:type="dxa"/>
            <w:noWrap/>
            <w:vAlign w:val="bottom"/>
            <w:hideMark/>
          </w:tcPr>
          <w:p w14:paraId="4F8FDA58"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right w:val="single" w:sz="4" w:space="0" w:color="auto"/>
            </w:tcBorders>
            <w:noWrap/>
            <w:vAlign w:val="bottom"/>
            <w:hideMark/>
          </w:tcPr>
          <w:p w14:paraId="5CB8342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left w:val="single" w:sz="4" w:space="0" w:color="auto"/>
            </w:tcBorders>
            <w:noWrap/>
            <w:vAlign w:val="bottom"/>
            <w:hideMark/>
          </w:tcPr>
          <w:p w14:paraId="21B61311"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6106248D"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43B529F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18179C0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5CCAAF2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66AF7FB4"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75C3103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57527A3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1227F85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226EB8F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900" w:type="dxa"/>
            <w:noWrap/>
            <w:vAlign w:val="bottom"/>
            <w:hideMark/>
          </w:tcPr>
          <w:p w14:paraId="0CBB68CD"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810" w:type="dxa"/>
            <w:tcBorders>
              <w:right w:val="single" w:sz="4" w:space="0" w:color="auto"/>
            </w:tcBorders>
            <w:noWrap/>
            <w:vAlign w:val="bottom"/>
            <w:hideMark/>
          </w:tcPr>
          <w:p w14:paraId="0CB03E5E"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r>
      <w:tr w:rsidR="000049B9" w:rsidRPr="00415161" w14:paraId="59CEDD8A" w14:textId="77777777" w:rsidTr="000049B9">
        <w:trPr>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44103C78"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Converse</w:t>
            </w:r>
          </w:p>
        </w:tc>
        <w:tc>
          <w:tcPr>
            <w:tcW w:w="629" w:type="dxa"/>
            <w:tcBorders>
              <w:left w:val="single" w:sz="4" w:space="0" w:color="auto"/>
            </w:tcBorders>
            <w:noWrap/>
            <w:vAlign w:val="bottom"/>
            <w:hideMark/>
          </w:tcPr>
          <w:p w14:paraId="3DECA388"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82</w:t>
            </w:r>
          </w:p>
        </w:tc>
        <w:tc>
          <w:tcPr>
            <w:tcW w:w="540" w:type="dxa"/>
            <w:tcBorders>
              <w:right w:val="single" w:sz="4" w:space="0" w:color="auto"/>
            </w:tcBorders>
            <w:noWrap/>
            <w:vAlign w:val="bottom"/>
            <w:hideMark/>
          </w:tcPr>
          <w:p w14:paraId="3A4A6D60"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7</w:t>
            </w:r>
          </w:p>
        </w:tc>
        <w:tc>
          <w:tcPr>
            <w:tcW w:w="450" w:type="dxa"/>
            <w:tcBorders>
              <w:left w:val="single" w:sz="4" w:space="0" w:color="auto"/>
            </w:tcBorders>
            <w:noWrap/>
            <w:vAlign w:val="bottom"/>
            <w:hideMark/>
          </w:tcPr>
          <w:p w14:paraId="5452D4F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08C0E07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6A6F51A6"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450" w:type="dxa"/>
            <w:noWrap/>
            <w:vAlign w:val="bottom"/>
            <w:hideMark/>
          </w:tcPr>
          <w:p w14:paraId="4B9C3E25"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tcBorders>
              <w:right w:val="single" w:sz="4" w:space="0" w:color="auto"/>
            </w:tcBorders>
            <w:noWrap/>
            <w:vAlign w:val="bottom"/>
            <w:hideMark/>
          </w:tcPr>
          <w:p w14:paraId="44090069"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tcBorders>
              <w:left w:val="single" w:sz="4" w:space="0" w:color="auto"/>
            </w:tcBorders>
            <w:noWrap/>
            <w:vAlign w:val="bottom"/>
            <w:hideMark/>
          </w:tcPr>
          <w:p w14:paraId="2861965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42D2159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10926D31"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5C739A89"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59FC5A4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41202DD5"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0A8B2EA1"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18889FB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4C6334E6"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14F12F1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900" w:type="dxa"/>
            <w:noWrap/>
            <w:vAlign w:val="bottom"/>
            <w:hideMark/>
          </w:tcPr>
          <w:p w14:paraId="03A8C03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810" w:type="dxa"/>
            <w:tcBorders>
              <w:right w:val="single" w:sz="4" w:space="0" w:color="auto"/>
            </w:tcBorders>
            <w:noWrap/>
            <w:vAlign w:val="bottom"/>
            <w:hideMark/>
          </w:tcPr>
          <w:p w14:paraId="7BE34B5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r>
      <w:tr w:rsidR="000049B9" w:rsidRPr="00415161" w14:paraId="6D4A800D" w14:textId="77777777" w:rsidTr="000049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7015DE28"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Big Horn</w:t>
            </w:r>
          </w:p>
        </w:tc>
        <w:tc>
          <w:tcPr>
            <w:tcW w:w="629" w:type="dxa"/>
            <w:tcBorders>
              <w:left w:val="single" w:sz="4" w:space="0" w:color="auto"/>
            </w:tcBorders>
            <w:noWrap/>
            <w:vAlign w:val="bottom"/>
            <w:hideMark/>
          </w:tcPr>
          <w:p w14:paraId="11F89B5F"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81</w:t>
            </w:r>
          </w:p>
        </w:tc>
        <w:tc>
          <w:tcPr>
            <w:tcW w:w="540" w:type="dxa"/>
            <w:tcBorders>
              <w:right w:val="single" w:sz="4" w:space="0" w:color="auto"/>
            </w:tcBorders>
            <w:noWrap/>
            <w:vAlign w:val="bottom"/>
            <w:hideMark/>
          </w:tcPr>
          <w:p w14:paraId="096D424A"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8</w:t>
            </w:r>
          </w:p>
        </w:tc>
        <w:tc>
          <w:tcPr>
            <w:tcW w:w="450" w:type="dxa"/>
            <w:tcBorders>
              <w:left w:val="single" w:sz="4" w:space="0" w:color="auto"/>
            </w:tcBorders>
            <w:noWrap/>
            <w:vAlign w:val="bottom"/>
            <w:hideMark/>
          </w:tcPr>
          <w:p w14:paraId="3F94BBE4"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47F8FDB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3629E777"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450" w:type="dxa"/>
            <w:noWrap/>
            <w:vAlign w:val="bottom"/>
            <w:hideMark/>
          </w:tcPr>
          <w:p w14:paraId="00A18A7D"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right w:val="single" w:sz="4" w:space="0" w:color="auto"/>
            </w:tcBorders>
            <w:noWrap/>
            <w:vAlign w:val="bottom"/>
            <w:hideMark/>
          </w:tcPr>
          <w:p w14:paraId="504A911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tcBorders>
              <w:left w:val="single" w:sz="4" w:space="0" w:color="auto"/>
            </w:tcBorders>
            <w:noWrap/>
            <w:vAlign w:val="bottom"/>
            <w:hideMark/>
          </w:tcPr>
          <w:p w14:paraId="57ADC5C0"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40882F3E"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438924D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7F57BC6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63E382E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2A21967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6596E039"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6824C7FE"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66193A9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70E941C3"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900" w:type="dxa"/>
            <w:noWrap/>
            <w:vAlign w:val="bottom"/>
            <w:hideMark/>
          </w:tcPr>
          <w:p w14:paraId="3F8CDBA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810" w:type="dxa"/>
            <w:tcBorders>
              <w:right w:val="single" w:sz="4" w:space="0" w:color="auto"/>
            </w:tcBorders>
            <w:noWrap/>
            <w:vAlign w:val="bottom"/>
            <w:hideMark/>
          </w:tcPr>
          <w:p w14:paraId="19D3CC1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r>
      <w:tr w:rsidR="000049B9" w:rsidRPr="00415161" w14:paraId="7DF0179C" w14:textId="77777777" w:rsidTr="000049B9">
        <w:trPr>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5E1F54CD"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Washakie</w:t>
            </w:r>
          </w:p>
        </w:tc>
        <w:tc>
          <w:tcPr>
            <w:tcW w:w="629" w:type="dxa"/>
            <w:tcBorders>
              <w:left w:val="single" w:sz="4" w:space="0" w:color="auto"/>
            </w:tcBorders>
            <w:noWrap/>
            <w:vAlign w:val="bottom"/>
            <w:hideMark/>
          </w:tcPr>
          <w:p w14:paraId="730533D5"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81</w:t>
            </w:r>
          </w:p>
        </w:tc>
        <w:tc>
          <w:tcPr>
            <w:tcW w:w="540" w:type="dxa"/>
            <w:tcBorders>
              <w:right w:val="single" w:sz="4" w:space="0" w:color="auto"/>
            </w:tcBorders>
            <w:noWrap/>
            <w:vAlign w:val="bottom"/>
            <w:hideMark/>
          </w:tcPr>
          <w:p w14:paraId="29A259C8"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9</w:t>
            </w:r>
          </w:p>
        </w:tc>
        <w:tc>
          <w:tcPr>
            <w:tcW w:w="450" w:type="dxa"/>
            <w:tcBorders>
              <w:left w:val="single" w:sz="4" w:space="0" w:color="auto"/>
            </w:tcBorders>
            <w:noWrap/>
            <w:vAlign w:val="bottom"/>
            <w:hideMark/>
          </w:tcPr>
          <w:p w14:paraId="545B1A9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46189B0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39012D65"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450" w:type="dxa"/>
            <w:noWrap/>
            <w:vAlign w:val="bottom"/>
            <w:hideMark/>
          </w:tcPr>
          <w:p w14:paraId="7D375634"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right w:val="single" w:sz="4" w:space="0" w:color="auto"/>
            </w:tcBorders>
            <w:noWrap/>
            <w:vAlign w:val="bottom"/>
            <w:hideMark/>
          </w:tcPr>
          <w:p w14:paraId="4EF2F2E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left w:val="single" w:sz="4" w:space="0" w:color="auto"/>
            </w:tcBorders>
            <w:noWrap/>
            <w:vAlign w:val="bottom"/>
            <w:hideMark/>
          </w:tcPr>
          <w:p w14:paraId="595DD5BF"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7FDDD8F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7CD8D6F0"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25BAAE59"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05BF5B3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191BCA8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5A35DD6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5F7ADCD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077798C0"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122BB36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900" w:type="dxa"/>
            <w:noWrap/>
            <w:vAlign w:val="bottom"/>
            <w:hideMark/>
          </w:tcPr>
          <w:p w14:paraId="318E2BF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810" w:type="dxa"/>
            <w:tcBorders>
              <w:right w:val="single" w:sz="4" w:space="0" w:color="auto"/>
            </w:tcBorders>
            <w:noWrap/>
            <w:vAlign w:val="bottom"/>
            <w:hideMark/>
          </w:tcPr>
          <w:p w14:paraId="363A843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r>
      <w:tr w:rsidR="000049B9" w:rsidRPr="00415161" w14:paraId="4AE77A1F" w14:textId="77777777" w:rsidTr="000049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7EC6BABF"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Platte</w:t>
            </w:r>
          </w:p>
        </w:tc>
        <w:tc>
          <w:tcPr>
            <w:tcW w:w="629" w:type="dxa"/>
            <w:tcBorders>
              <w:left w:val="single" w:sz="4" w:space="0" w:color="auto"/>
            </w:tcBorders>
            <w:noWrap/>
            <w:vAlign w:val="bottom"/>
            <w:hideMark/>
          </w:tcPr>
          <w:p w14:paraId="28F733FD"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80</w:t>
            </w:r>
          </w:p>
        </w:tc>
        <w:tc>
          <w:tcPr>
            <w:tcW w:w="540" w:type="dxa"/>
            <w:tcBorders>
              <w:right w:val="single" w:sz="4" w:space="0" w:color="auto"/>
            </w:tcBorders>
            <w:noWrap/>
            <w:vAlign w:val="bottom"/>
            <w:hideMark/>
          </w:tcPr>
          <w:p w14:paraId="2E923B77"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10</w:t>
            </w:r>
          </w:p>
        </w:tc>
        <w:tc>
          <w:tcPr>
            <w:tcW w:w="450" w:type="dxa"/>
            <w:tcBorders>
              <w:left w:val="single" w:sz="4" w:space="0" w:color="auto"/>
            </w:tcBorders>
            <w:noWrap/>
            <w:vAlign w:val="bottom"/>
            <w:hideMark/>
          </w:tcPr>
          <w:p w14:paraId="3B0013CE"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0D049BE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04DEC7FD"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450" w:type="dxa"/>
            <w:noWrap/>
            <w:vAlign w:val="bottom"/>
            <w:hideMark/>
          </w:tcPr>
          <w:p w14:paraId="71AAF62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tcBorders>
              <w:right w:val="single" w:sz="4" w:space="0" w:color="auto"/>
            </w:tcBorders>
            <w:noWrap/>
            <w:vAlign w:val="bottom"/>
            <w:hideMark/>
          </w:tcPr>
          <w:p w14:paraId="46B2D7D7"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tcBorders>
              <w:left w:val="single" w:sz="4" w:space="0" w:color="auto"/>
            </w:tcBorders>
            <w:noWrap/>
            <w:vAlign w:val="bottom"/>
            <w:hideMark/>
          </w:tcPr>
          <w:p w14:paraId="560F35A3"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2089829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56637C33"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41A083D9"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45EEF512"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7B3C9A30"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5EF41DC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5627E669"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53BF390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69FC07E0"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900" w:type="dxa"/>
            <w:noWrap/>
            <w:vAlign w:val="bottom"/>
            <w:hideMark/>
          </w:tcPr>
          <w:p w14:paraId="04C71503"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810" w:type="dxa"/>
            <w:tcBorders>
              <w:right w:val="single" w:sz="4" w:space="0" w:color="auto"/>
            </w:tcBorders>
            <w:noWrap/>
            <w:vAlign w:val="bottom"/>
            <w:hideMark/>
          </w:tcPr>
          <w:p w14:paraId="647DD87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r>
      <w:tr w:rsidR="000049B9" w:rsidRPr="00415161" w14:paraId="3444073B" w14:textId="77777777" w:rsidTr="000049B9">
        <w:trPr>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2D44C603"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Niobrara</w:t>
            </w:r>
          </w:p>
        </w:tc>
        <w:tc>
          <w:tcPr>
            <w:tcW w:w="629" w:type="dxa"/>
            <w:tcBorders>
              <w:left w:val="single" w:sz="4" w:space="0" w:color="auto"/>
            </w:tcBorders>
            <w:noWrap/>
            <w:vAlign w:val="bottom"/>
            <w:hideMark/>
          </w:tcPr>
          <w:p w14:paraId="426D3742"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78</w:t>
            </w:r>
          </w:p>
        </w:tc>
        <w:tc>
          <w:tcPr>
            <w:tcW w:w="540" w:type="dxa"/>
            <w:tcBorders>
              <w:right w:val="single" w:sz="4" w:space="0" w:color="auto"/>
            </w:tcBorders>
            <w:noWrap/>
            <w:vAlign w:val="bottom"/>
            <w:hideMark/>
          </w:tcPr>
          <w:p w14:paraId="72EDB478"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11</w:t>
            </w:r>
          </w:p>
        </w:tc>
        <w:tc>
          <w:tcPr>
            <w:tcW w:w="450" w:type="dxa"/>
            <w:tcBorders>
              <w:left w:val="single" w:sz="4" w:space="0" w:color="auto"/>
            </w:tcBorders>
            <w:noWrap/>
            <w:vAlign w:val="bottom"/>
            <w:hideMark/>
          </w:tcPr>
          <w:p w14:paraId="2431431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10E7F851"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2E2DF3E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450" w:type="dxa"/>
            <w:noWrap/>
            <w:vAlign w:val="bottom"/>
            <w:hideMark/>
          </w:tcPr>
          <w:p w14:paraId="33F37CE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right w:val="single" w:sz="4" w:space="0" w:color="auto"/>
            </w:tcBorders>
            <w:noWrap/>
            <w:vAlign w:val="bottom"/>
            <w:hideMark/>
          </w:tcPr>
          <w:p w14:paraId="1F0C61E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tcBorders>
              <w:left w:val="single" w:sz="4" w:space="0" w:color="auto"/>
            </w:tcBorders>
            <w:noWrap/>
            <w:vAlign w:val="bottom"/>
            <w:hideMark/>
          </w:tcPr>
          <w:p w14:paraId="39155BB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036BA804"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5419479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68DC572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6808513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22201029"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4318A75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23D7D7FF"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2A8617FF"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75535A9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900" w:type="dxa"/>
            <w:noWrap/>
            <w:vAlign w:val="bottom"/>
            <w:hideMark/>
          </w:tcPr>
          <w:p w14:paraId="19C83618"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810" w:type="dxa"/>
            <w:tcBorders>
              <w:right w:val="single" w:sz="4" w:space="0" w:color="auto"/>
            </w:tcBorders>
            <w:noWrap/>
            <w:vAlign w:val="bottom"/>
            <w:hideMark/>
          </w:tcPr>
          <w:p w14:paraId="30CFF05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r>
      <w:tr w:rsidR="000049B9" w:rsidRPr="00415161" w14:paraId="50DB5E6B" w14:textId="77777777" w:rsidTr="000049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30D6432B"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Park</w:t>
            </w:r>
          </w:p>
        </w:tc>
        <w:tc>
          <w:tcPr>
            <w:tcW w:w="629" w:type="dxa"/>
            <w:tcBorders>
              <w:left w:val="single" w:sz="4" w:space="0" w:color="auto"/>
            </w:tcBorders>
            <w:noWrap/>
            <w:vAlign w:val="bottom"/>
            <w:hideMark/>
          </w:tcPr>
          <w:p w14:paraId="26DB8F35"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78</w:t>
            </w:r>
          </w:p>
        </w:tc>
        <w:tc>
          <w:tcPr>
            <w:tcW w:w="540" w:type="dxa"/>
            <w:tcBorders>
              <w:right w:val="single" w:sz="4" w:space="0" w:color="auto"/>
            </w:tcBorders>
            <w:noWrap/>
            <w:vAlign w:val="bottom"/>
            <w:hideMark/>
          </w:tcPr>
          <w:p w14:paraId="50119BC6"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12</w:t>
            </w:r>
          </w:p>
        </w:tc>
        <w:tc>
          <w:tcPr>
            <w:tcW w:w="450" w:type="dxa"/>
            <w:tcBorders>
              <w:left w:val="single" w:sz="4" w:space="0" w:color="auto"/>
            </w:tcBorders>
            <w:noWrap/>
            <w:vAlign w:val="bottom"/>
            <w:hideMark/>
          </w:tcPr>
          <w:p w14:paraId="4E91EB9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4F0913C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2A493534"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450" w:type="dxa"/>
            <w:noWrap/>
            <w:vAlign w:val="bottom"/>
            <w:hideMark/>
          </w:tcPr>
          <w:p w14:paraId="558AD94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tcBorders>
              <w:right w:val="single" w:sz="4" w:space="0" w:color="auto"/>
            </w:tcBorders>
            <w:noWrap/>
            <w:vAlign w:val="bottom"/>
            <w:hideMark/>
          </w:tcPr>
          <w:p w14:paraId="4ABEDE13"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tcBorders>
              <w:left w:val="single" w:sz="4" w:space="0" w:color="auto"/>
            </w:tcBorders>
            <w:noWrap/>
            <w:vAlign w:val="bottom"/>
            <w:hideMark/>
          </w:tcPr>
          <w:p w14:paraId="175A51D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7F02CE97"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29BC721D"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3D7294B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6FC0ADB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4DD60367"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264D54D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7FBDA94D"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2A14FB51"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01FA0E2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900" w:type="dxa"/>
            <w:noWrap/>
            <w:vAlign w:val="bottom"/>
            <w:hideMark/>
          </w:tcPr>
          <w:p w14:paraId="70FD725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810" w:type="dxa"/>
            <w:tcBorders>
              <w:right w:val="single" w:sz="4" w:space="0" w:color="auto"/>
            </w:tcBorders>
            <w:noWrap/>
            <w:vAlign w:val="bottom"/>
            <w:hideMark/>
          </w:tcPr>
          <w:p w14:paraId="46193A38"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r>
      <w:tr w:rsidR="000049B9" w:rsidRPr="00415161" w14:paraId="3CD775EA" w14:textId="77777777" w:rsidTr="000049B9">
        <w:trPr>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0AC2142D"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Albany</w:t>
            </w:r>
          </w:p>
        </w:tc>
        <w:tc>
          <w:tcPr>
            <w:tcW w:w="629" w:type="dxa"/>
            <w:tcBorders>
              <w:left w:val="single" w:sz="4" w:space="0" w:color="auto"/>
            </w:tcBorders>
            <w:noWrap/>
            <w:vAlign w:val="bottom"/>
            <w:hideMark/>
          </w:tcPr>
          <w:p w14:paraId="528CCC00"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77</w:t>
            </w:r>
          </w:p>
        </w:tc>
        <w:tc>
          <w:tcPr>
            <w:tcW w:w="540" w:type="dxa"/>
            <w:tcBorders>
              <w:right w:val="single" w:sz="4" w:space="0" w:color="auto"/>
            </w:tcBorders>
            <w:noWrap/>
            <w:vAlign w:val="bottom"/>
            <w:hideMark/>
          </w:tcPr>
          <w:p w14:paraId="7E7B0B0A"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13</w:t>
            </w:r>
          </w:p>
        </w:tc>
        <w:tc>
          <w:tcPr>
            <w:tcW w:w="450" w:type="dxa"/>
            <w:tcBorders>
              <w:left w:val="single" w:sz="4" w:space="0" w:color="auto"/>
            </w:tcBorders>
            <w:noWrap/>
            <w:vAlign w:val="bottom"/>
            <w:hideMark/>
          </w:tcPr>
          <w:p w14:paraId="5163862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721F5CD0"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38388A0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450" w:type="dxa"/>
            <w:noWrap/>
            <w:vAlign w:val="bottom"/>
            <w:hideMark/>
          </w:tcPr>
          <w:p w14:paraId="6C15038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right w:val="single" w:sz="4" w:space="0" w:color="auto"/>
            </w:tcBorders>
            <w:noWrap/>
            <w:vAlign w:val="bottom"/>
            <w:hideMark/>
          </w:tcPr>
          <w:p w14:paraId="7D35B7C5"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tcBorders>
              <w:left w:val="single" w:sz="4" w:space="0" w:color="auto"/>
            </w:tcBorders>
            <w:noWrap/>
            <w:vAlign w:val="bottom"/>
            <w:hideMark/>
          </w:tcPr>
          <w:p w14:paraId="10D7FD7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4923DD01"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7FE2453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2686C86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1BC37E9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35DB8EB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42FFD17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6B14604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07BF7D8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583EB0B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900" w:type="dxa"/>
            <w:noWrap/>
            <w:vAlign w:val="bottom"/>
            <w:hideMark/>
          </w:tcPr>
          <w:p w14:paraId="780EBAD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810" w:type="dxa"/>
            <w:tcBorders>
              <w:right w:val="single" w:sz="4" w:space="0" w:color="auto"/>
            </w:tcBorders>
            <w:noWrap/>
            <w:vAlign w:val="bottom"/>
            <w:hideMark/>
          </w:tcPr>
          <w:p w14:paraId="6823B4A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r>
      <w:tr w:rsidR="000049B9" w:rsidRPr="00415161" w14:paraId="635F042D" w14:textId="77777777" w:rsidTr="000049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30D371C4"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Campbell</w:t>
            </w:r>
          </w:p>
        </w:tc>
        <w:tc>
          <w:tcPr>
            <w:tcW w:w="629" w:type="dxa"/>
            <w:tcBorders>
              <w:left w:val="single" w:sz="4" w:space="0" w:color="auto"/>
            </w:tcBorders>
            <w:noWrap/>
            <w:vAlign w:val="bottom"/>
            <w:hideMark/>
          </w:tcPr>
          <w:p w14:paraId="3AC04B4A"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77</w:t>
            </w:r>
          </w:p>
        </w:tc>
        <w:tc>
          <w:tcPr>
            <w:tcW w:w="540" w:type="dxa"/>
            <w:tcBorders>
              <w:right w:val="single" w:sz="4" w:space="0" w:color="auto"/>
            </w:tcBorders>
            <w:noWrap/>
            <w:vAlign w:val="bottom"/>
            <w:hideMark/>
          </w:tcPr>
          <w:p w14:paraId="7E151C9D"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14</w:t>
            </w:r>
          </w:p>
        </w:tc>
        <w:tc>
          <w:tcPr>
            <w:tcW w:w="450" w:type="dxa"/>
            <w:tcBorders>
              <w:left w:val="single" w:sz="4" w:space="0" w:color="auto"/>
            </w:tcBorders>
            <w:noWrap/>
            <w:vAlign w:val="bottom"/>
            <w:hideMark/>
          </w:tcPr>
          <w:p w14:paraId="0AF79ED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5896201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1259AE62"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450" w:type="dxa"/>
            <w:noWrap/>
            <w:vAlign w:val="bottom"/>
            <w:hideMark/>
          </w:tcPr>
          <w:p w14:paraId="15839688"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tcBorders>
              <w:right w:val="single" w:sz="4" w:space="0" w:color="auto"/>
            </w:tcBorders>
            <w:noWrap/>
            <w:vAlign w:val="bottom"/>
            <w:hideMark/>
          </w:tcPr>
          <w:p w14:paraId="7432AA5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tcBorders>
              <w:left w:val="single" w:sz="4" w:space="0" w:color="auto"/>
            </w:tcBorders>
            <w:noWrap/>
            <w:vAlign w:val="bottom"/>
            <w:hideMark/>
          </w:tcPr>
          <w:p w14:paraId="56BD714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3CB0322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4E81995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5CE4E397"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53FC062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0684C809"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2EFAA7C9"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61038B6E"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6008EAC1"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5122C840"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900" w:type="dxa"/>
            <w:noWrap/>
            <w:vAlign w:val="bottom"/>
            <w:hideMark/>
          </w:tcPr>
          <w:p w14:paraId="3E692CC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810" w:type="dxa"/>
            <w:tcBorders>
              <w:right w:val="single" w:sz="4" w:space="0" w:color="auto"/>
            </w:tcBorders>
            <w:noWrap/>
            <w:vAlign w:val="bottom"/>
            <w:hideMark/>
          </w:tcPr>
          <w:p w14:paraId="63E85703"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r>
      <w:tr w:rsidR="000049B9" w:rsidRPr="00415161" w14:paraId="73D65C45" w14:textId="77777777" w:rsidTr="000049B9">
        <w:trPr>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4F301660"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Laramie</w:t>
            </w:r>
          </w:p>
        </w:tc>
        <w:tc>
          <w:tcPr>
            <w:tcW w:w="629" w:type="dxa"/>
            <w:tcBorders>
              <w:left w:val="single" w:sz="4" w:space="0" w:color="auto"/>
            </w:tcBorders>
            <w:noWrap/>
            <w:vAlign w:val="bottom"/>
            <w:hideMark/>
          </w:tcPr>
          <w:p w14:paraId="02D74D86"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76</w:t>
            </w:r>
          </w:p>
        </w:tc>
        <w:tc>
          <w:tcPr>
            <w:tcW w:w="540" w:type="dxa"/>
            <w:tcBorders>
              <w:right w:val="single" w:sz="4" w:space="0" w:color="auto"/>
            </w:tcBorders>
            <w:noWrap/>
            <w:vAlign w:val="bottom"/>
            <w:hideMark/>
          </w:tcPr>
          <w:p w14:paraId="18C5CFB2"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15</w:t>
            </w:r>
          </w:p>
        </w:tc>
        <w:tc>
          <w:tcPr>
            <w:tcW w:w="450" w:type="dxa"/>
            <w:tcBorders>
              <w:left w:val="single" w:sz="4" w:space="0" w:color="auto"/>
            </w:tcBorders>
            <w:noWrap/>
            <w:vAlign w:val="bottom"/>
            <w:hideMark/>
          </w:tcPr>
          <w:p w14:paraId="77BD941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3EE8131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6830812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450" w:type="dxa"/>
            <w:noWrap/>
            <w:vAlign w:val="bottom"/>
            <w:hideMark/>
          </w:tcPr>
          <w:p w14:paraId="27D80A1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tcBorders>
              <w:right w:val="single" w:sz="4" w:space="0" w:color="auto"/>
            </w:tcBorders>
            <w:noWrap/>
            <w:vAlign w:val="bottom"/>
            <w:hideMark/>
          </w:tcPr>
          <w:p w14:paraId="2608DCE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tcBorders>
              <w:left w:val="single" w:sz="4" w:space="0" w:color="auto"/>
            </w:tcBorders>
            <w:noWrap/>
            <w:vAlign w:val="bottom"/>
            <w:hideMark/>
          </w:tcPr>
          <w:p w14:paraId="3D0FE9C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268953C9"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7D601896"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6A9C392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0648DD4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345E371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1D74A468"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1ED3F9F5"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4528ED1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4E1D6BD1"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900" w:type="dxa"/>
            <w:noWrap/>
            <w:vAlign w:val="bottom"/>
            <w:hideMark/>
          </w:tcPr>
          <w:p w14:paraId="59BE1B8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810" w:type="dxa"/>
            <w:tcBorders>
              <w:right w:val="single" w:sz="4" w:space="0" w:color="auto"/>
            </w:tcBorders>
            <w:noWrap/>
            <w:vAlign w:val="bottom"/>
            <w:hideMark/>
          </w:tcPr>
          <w:p w14:paraId="6D33B5E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r>
      <w:tr w:rsidR="000049B9" w:rsidRPr="00415161" w14:paraId="0AF15625" w14:textId="77777777" w:rsidTr="000049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019EBEED"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Johnson</w:t>
            </w:r>
          </w:p>
        </w:tc>
        <w:tc>
          <w:tcPr>
            <w:tcW w:w="629" w:type="dxa"/>
            <w:tcBorders>
              <w:left w:val="single" w:sz="4" w:space="0" w:color="auto"/>
            </w:tcBorders>
            <w:noWrap/>
            <w:vAlign w:val="bottom"/>
            <w:hideMark/>
          </w:tcPr>
          <w:p w14:paraId="420F4750"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74</w:t>
            </w:r>
          </w:p>
        </w:tc>
        <w:tc>
          <w:tcPr>
            <w:tcW w:w="540" w:type="dxa"/>
            <w:tcBorders>
              <w:right w:val="single" w:sz="4" w:space="0" w:color="auto"/>
            </w:tcBorders>
            <w:noWrap/>
            <w:vAlign w:val="bottom"/>
            <w:hideMark/>
          </w:tcPr>
          <w:p w14:paraId="5F2FB143"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16</w:t>
            </w:r>
          </w:p>
        </w:tc>
        <w:tc>
          <w:tcPr>
            <w:tcW w:w="450" w:type="dxa"/>
            <w:tcBorders>
              <w:left w:val="single" w:sz="4" w:space="0" w:color="auto"/>
            </w:tcBorders>
            <w:noWrap/>
            <w:vAlign w:val="bottom"/>
            <w:hideMark/>
          </w:tcPr>
          <w:p w14:paraId="43B03D8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5B35CE0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3A2E5FF3"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450" w:type="dxa"/>
            <w:noWrap/>
            <w:vAlign w:val="bottom"/>
            <w:hideMark/>
          </w:tcPr>
          <w:p w14:paraId="2023D2F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tcBorders>
              <w:right w:val="single" w:sz="4" w:space="0" w:color="auto"/>
            </w:tcBorders>
            <w:noWrap/>
            <w:vAlign w:val="bottom"/>
            <w:hideMark/>
          </w:tcPr>
          <w:p w14:paraId="1960C724"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tcBorders>
              <w:left w:val="single" w:sz="4" w:space="0" w:color="auto"/>
            </w:tcBorders>
            <w:noWrap/>
            <w:vAlign w:val="bottom"/>
            <w:hideMark/>
          </w:tcPr>
          <w:p w14:paraId="30C46428"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79430F38"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1CABDC7E"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08369F13"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32815274"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2644E89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3C9C728D"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58E368C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2738A20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42AC64F8"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900" w:type="dxa"/>
            <w:noWrap/>
            <w:vAlign w:val="bottom"/>
            <w:hideMark/>
          </w:tcPr>
          <w:p w14:paraId="6AAA5F0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810" w:type="dxa"/>
            <w:tcBorders>
              <w:right w:val="single" w:sz="4" w:space="0" w:color="auto"/>
            </w:tcBorders>
            <w:noWrap/>
            <w:vAlign w:val="bottom"/>
            <w:hideMark/>
          </w:tcPr>
          <w:p w14:paraId="250D513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r>
      <w:tr w:rsidR="000049B9" w:rsidRPr="00415161" w14:paraId="2B9588FD" w14:textId="77777777" w:rsidTr="000049B9">
        <w:trPr>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67826E87"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Weston</w:t>
            </w:r>
          </w:p>
        </w:tc>
        <w:tc>
          <w:tcPr>
            <w:tcW w:w="629" w:type="dxa"/>
            <w:tcBorders>
              <w:left w:val="single" w:sz="4" w:space="0" w:color="auto"/>
            </w:tcBorders>
            <w:noWrap/>
            <w:vAlign w:val="bottom"/>
            <w:hideMark/>
          </w:tcPr>
          <w:p w14:paraId="11D72DE0"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68</w:t>
            </w:r>
          </w:p>
        </w:tc>
        <w:tc>
          <w:tcPr>
            <w:tcW w:w="540" w:type="dxa"/>
            <w:tcBorders>
              <w:right w:val="single" w:sz="4" w:space="0" w:color="auto"/>
            </w:tcBorders>
            <w:noWrap/>
            <w:vAlign w:val="bottom"/>
            <w:hideMark/>
          </w:tcPr>
          <w:p w14:paraId="0707B562"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17</w:t>
            </w:r>
          </w:p>
        </w:tc>
        <w:tc>
          <w:tcPr>
            <w:tcW w:w="450" w:type="dxa"/>
            <w:tcBorders>
              <w:left w:val="single" w:sz="4" w:space="0" w:color="auto"/>
            </w:tcBorders>
            <w:noWrap/>
            <w:vAlign w:val="bottom"/>
            <w:hideMark/>
          </w:tcPr>
          <w:p w14:paraId="4DC61D4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445D50B5"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4AEE008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450" w:type="dxa"/>
            <w:noWrap/>
            <w:vAlign w:val="bottom"/>
            <w:hideMark/>
          </w:tcPr>
          <w:p w14:paraId="27970D8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tcBorders>
              <w:right w:val="single" w:sz="4" w:space="0" w:color="auto"/>
            </w:tcBorders>
            <w:noWrap/>
            <w:vAlign w:val="bottom"/>
            <w:hideMark/>
          </w:tcPr>
          <w:p w14:paraId="68EF407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tcBorders>
              <w:left w:val="single" w:sz="4" w:space="0" w:color="auto"/>
            </w:tcBorders>
            <w:noWrap/>
            <w:vAlign w:val="bottom"/>
            <w:hideMark/>
          </w:tcPr>
          <w:p w14:paraId="3D884309"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2F808025"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6FC0D70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5406A566"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1E04232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1FC66F7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1AAF9E5F"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5E5B7070"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74F54EE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noWrap/>
            <w:vAlign w:val="bottom"/>
            <w:hideMark/>
          </w:tcPr>
          <w:p w14:paraId="01E1DCE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900" w:type="dxa"/>
            <w:noWrap/>
            <w:vAlign w:val="bottom"/>
            <w:hideMark/>
          </w:tcPr>
          <w:p w14:paraId="50E52944"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810" w:type="dxa"/>
            <w:tcBorders>
              <w:right w:val="single" w:sz="4" w:space="0" w:color="auto"/>
            </w:tcBorders>
            <w:noWrap/>
            <w:vAlign w:val="bottom"/>
            <w:hideMark/>
          </w:tcPr>
          <w:p w14:paraId="026D0640"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r>
      <w:tr w:rsidR="000049B9" w:rsidRPr="00415161" w14:paraId="4D758D86" w14:textId="77777777" w:rsidTr="000049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22B50D2F"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Sheridan</w:t>
            </w:r>
          </w:p>
        </w:tc>
        <w:tc>
          <w:tcPr>
            <w:tcW w:w="629" w:type="dxa"/>
            <w:tcBorders>
              <w:left w:val="single" w:sz="4" w:space="0" w:color="auto"/>
            </w:tcBorders>
            <w:noWrap/>
            <w:vAlign w:val="bottom"/>
            <w:hideMark/>
          </w:tcPr>
          <w:p w14:paraId="16C78231"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65</w:t>
            </w:r>
          </w:p>
        </w:tc>
        <w:tc>
          <w:tcPr>
            <w:tcW w:w="540" w:type="dxa"/>
            <w:tcBorders>
              <w:right w:val="single" w:sz="4" w:space="0" w:color="auto"/>
            </w:tcBorders>
            <w:noWrap/>
            <w:vAlign w:val="bottom"/>
            <w:hideMark/>
          </w:tcPr>
          <w:p w14:paraId="7EDA5B87"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18</w:t>
            </w:r>
          </w:p>
        </w:tc>
        <w:tc>
          <w:tcPr>
            <w:tcW w:w="450" w:type="dxa"/>
            <w:tcBorders>
              <w:left w:val="single" w:sz="4" w:space="0" w:color="auto"/>
            </w:tcBorders>
            <w:noWrap/>
            <w:vAlign w:val="bottom"/>
            <w:hideMark/>
          </w:tcPr>
          <w:p w14:paraId="19F6400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1704363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17A0FA1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450" w:type="dxa"/>
            <w:noWrap/>
            <w:vAlign w:val="bottom"/>
            <w:hideMark/>
          </w:tcPr>
          <w:p w14:paraId="15A6B52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tcBorders>
              <w:right w:val="single" w:sz="4" w:space="0" w:color="auto"/>
            </w:tcBorders>
            <w:noWrap/>
            <w:vAlign w:val="bottom"/>
            <w:hideMark/>
          </w:tcPr>
          <w:p w14:paraId="37802B27"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tcBorders>
              <w:left w:val="single" w:sz="4" w:space="0" w:color="auto"/>
            </w:tcBorders>
            <w:noWrap/>
            <w:vAlign w:val="bottom"/>
            <w:hideMark/>
          </w:tcPr>
          <w:p w14:paraId="4B04416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7D4EA64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4D4E9830"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noWrap/>
            <w:vAlign w:val="bottom"/>
            <w:hideMark/>
          </w:tcPr>
          <w:p w14:paraId="5B31368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0A062274"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2864793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318AC18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332EC7E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24B8F3A4"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6667AFE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900" w:type="dxa"/>
            <w:noWrap/>
            <w:vAlign w:val="bottom"/>
            <w:hideMark/>
          </w:tcPr>
          <w:p w14:paraId="32D4C64E"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810" w:type="dxa"/>
            <w:tcBorders>
              <w:right w:val="single" w:sz="4" w:space="0" w:color="auto"/>
            </w:tcBorders>
            <w:noWrap/>
            <w:vAlign w:val="bottom"/>
            <w:hideMark/>
          </w:tcPr>
          <w:p w14:paraId="27C86273"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r>
      <w:tr w:rsidR="000049B9" w:rsidRPr="00415161" w14:paraId="61CCEF93" w14:textId="77777777" w:rsidTr="000049B9">
        <w:trPr>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31C32CEA"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Goshen</w:t>
            </w:r>
          </w:p>
        </w:tc>
        <w:tc>
          <w:tcPr>
            <w:tcW w:w="629" w:type="dxa"/>
            <w:tcBorders>
              <w:left w:val="single" w:sz="4" w:space="0" w:color="auto"/>
            </w:tcBorders>
            <w:noWrap/>
            <w:vAlign w:val="bottom"/>
            <w:hideMark/>
          </w:tcPr>
          <w:p w14:paraId="279EE1AE"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64</w:t>
            </w:r>
          </w:p>
        </w:tc>
        <w:tc>
          <w:tcPr>
            <w:tcW w:w="540" w:type="dxa"/>
            <w:tcBorders>
              <w:right w:val="single" w:sz="4" w:space="0" w:color="auto"/>
            </w:tcBorders>
            <w:noWrap/>
            <w:vAlign w:val="bottom"/>
            <w:hideMark/>
          </w:tcPr>
          <w:p w14:paraId="15448D6E"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19</w:t>
            </w:r>
          </w:p>
        </w:tc>
        <w:tc>
          <w:tcPr>
            <w:tcW w:w="450" w:type="dxa"/>
            <w:tcBorders>
              <w:left w:val="single" w:sz="4" w:space="0" w:color="auto"/>
            </w:tcBorders>
            <w:noWrap/>
            <w:vAlign w:val="bottom"/>
            <w:hideMark/>
          </w:tcPr>
          <w:p w14:paraId="01F277C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4DEAA7D9"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3E360866"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450" w:type="dxa"/>
            <w:noWrap/>
            <w:vAlign w:val="bottom"/>
            <w:hideMark/>
          </w:tcPr>
          <w:p w14:paraId="39ED165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tcBorders>
              <w:right w:val="single" w:sz="4" w:space="0" w:color="auto"/>
            </w:tcBorders>
            <w:noWrap/>
            <w:vAlign w:val="bottom"/>
            <w:hideMark/>
          </w:tcPr>
          <w:p w14:paraId="577F911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tcBorders>
              <w:left w:val="single" w:sz="4" w:space="0" w:color="auto"/>
            </w:tcBorders>
            <w:noWrap/>
            <w:vAlign w:val="bottom"/>
            <w:hideMark/>
          </w:tcPr>
          <w:p w14:paraId="53ED74F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57AC4918"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077D0E1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639333B1"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2133003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3C9D166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71722D8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4448D33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38DC53C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7786CED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900" w:type="dxa"/>
            <w:noWrap/>
            <w:vAlign w:val="bottom"/>
            <w:hideMark/>
          </w:tcPr>
          <w:p w14:paraId="09BAB866"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810" w:type="dxa"/>
            <w:tcBorders>
              <w:right w:val="single" w:sz="4" w:space="0" w:color="auto"/>
            </w:tcBorders>
            <w:noWrap/>
            <w:vAlign w:val="bottom"/>
            <w:hideMark/>
          </w:tcPr>
          <w:p w14:paraId="5B40D8E0"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r>
      <w:tr w:rsidR="000049B9" w:rsidRPr="00415161" w14:paraId="41D3E7C9" w14:textId="77777777" w:rsidTr="000049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0E0FD151"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Crook</w:t>
            </w:r>
          </w:p>
        </w:tc>
        <w:tc>
          <w:tcPr>
            <w:tcW w:w="629" w:type="dxa"/>
            <w:tcBorders>
              <w:left w:val="single" w:sz="4" w:space="0" w:color="auto"/>
            </w:tcBorders>
            <w:noWrap/>
            <w:vAlign w:val="bottom"/>
            <w:hideMark/>
          </w:tcPr>
          <w:p w14:paraId="0FDDCE05"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63</w:t>
            </w:r>
          </w:p>
        </w:tc>
        <w:tc>
          <w:tcPr>
            <w:tcW w:w="540" w:type="dxa"/>
            <w:tcBorders>
              <w:right w:val="single" w:sz="4" w:space="0" w:color="auto"/>
            </w:tcBorders>
            <w:noWrap/>
            <w:vAlign w:val="bottom"/>
            <w:hideMark/>
          </w:tcPr>
          <w:p w14:paraId="4B355521"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20</w:t>
            </w:r>
          </w:p>
        </w:tc>
        <w:tc>
          <w:tcPr>
            <w:tcW w:w="450" w:type="dxa"/>
            <w:tcBorders>
              <w:left w:val="single" w:sz="4" w:space="0" w:color="auto"/>
            </w:tcBorders>
            <w:noWrap/>
            <w:vAlign w:val="bottom"/>
            <w:hideMark/>
          </w:tcPr>
          <w:p w14:paraId="580FBF7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6F31D27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6564C21A"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450" w:type="dxa"/>
            <w:noWrap/>
            <w:vAlign w:val="bottom"/>
            <w:hideMark/>
          </w:tcPr>
          <w:p w14:paraId="65773E61"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tcBorders>
              <w:right w:val="single" w:sz="4" w:space="0" w:color="auto"/>
            </w:tcBorders>
            <w:noWrap/>
            <w:vAlign w:val="bottom"/>
            <w:hideMark/>
          </w:tcPr>
          <w:p w14:paraId="2AA0EE6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tcBorders>
              <w:left w:val="single" w:sz="4" w:space="0" w:color="auto"/>
            </w:tcBorders>
            <w:noWrap/>
            <w:vAlign w:val="bottom"/>
            <w:hideMark/>
          </w:tcPr>
          <w:p w14:paraId="7AE68CC1"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79B2AFD0"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570FA763"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0E955F4E"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noWrap/>
            <w:vAlign w:val="bottom"/>
            <w:hideMark/>
          </w:tcPr>
          <w:p w14:paraId="1375DAC0"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2B55C00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13B5BDC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3E3ECD0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0A4BFC1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noWrap/>
            <w:vAlign w:val="bottom"/>
            <w:hideMark/>
          </w:tcPr>
          <w:p w14:paraId="20134FA2"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900" w:type="dxa"/>
            <w:noWrap/>
            <w:vAlign w:val="bottom"/>
            <w:hideMark/>
          </w:tcPr>
          <w:p w14:paraId="1FE2B9B1"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810" w:type="dxa"/>
            <w:tcBorders>
              <w:right w:val="single" w:sz="4" w:space="0" w:color="auto"/>
            </w:tcBorders>
            <w:noWrap/>
            <w:vAlign w:val="bottom"/>
            <w:hideMark/>
          </w:tcPr>
          <w:p w14:paraId="57FA8BD9"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r>
      <w:tr w:rsidR="000049B9" w:rsidRPr="00415161" w14:paraId="318D0641" w14:textId="77777777" w:rsidTr="000049B9">
        <w:trPr>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796FEFB2"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Sublette</w:t>
            </w:r>
          </w:p>
        </w:tc>
        <w:tc>
          <w:tcPr>
            <w:tcW w:w="629" w:type="dxa"/>
            <w:tcBorders>
              <w:left w:val="single" w:sz="4" w:space="0" w:color="auto"/>
            </w:tcBorders>
            <w:noWrap/>
            <w:vAlign w:val="bottom"/>
            <w:hideMark/>
          </w:tcPr>
          <w:p w14:paraId="564B6C29"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61</w:t>
            </w:r>
          </w:p>
        </w:tc>
        <w:tc>
          <w:tcPr>
            <w:tcW w:w="540" w:type="dxa"/>
            <w:tcBorders>
              <w:right w:val="single" w:sz="4" w:space="0" w:color="auto"/>
            </w:tcBorders>
            <w:noWrap/>
            <w:vAlign w:val="bottom"/>
            <w:hideMark/>
          </w:tcPr>
          <w:p w14:paraId="26813B56"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21</w:t>
            </w:r>
          </w:p>
        </w:tc>
        <w:tc>
          <w:tcPr>
            <w:tcW w:w="450" w:type="dxa"/>
            <w:tcBorders>
              <w:left w:val="single" w:sz="4" w:space="0" w:color="auto"/>
            </w:tcBorders>
            <w:noWrap/>
            <w:vAlign w:val="bottom"/>
            <w:hideMark/>
          </w:tcPr>
          <w:p w14:paraId="46CE0EEF"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6A1FC59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5FECC2E4"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450" w:type="dxa"/>
            <w:noWrap/>
            <w:vAlign w:val="bottom"/>
            <w:hideMark/>
          </w:tcPr>
          <w:p w14:paraId="18FDA12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tcBorders>
              <w:right w:val="single" w:sz="4" w:space="0" w:color="auto"/>
            </w:tcBorders>
            <w:noWrap/>
            <w:vAlign w:val="bottom"/>
            <w:hideMark/>
          </w:tcPr>
          <w:p w14:paraId="551B7C4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540" w:type="dxa"/>
            <w:tcBorders>
              <w:left w:val="single" w:sz="4" w:space="0" w:color="auto"/>
            </w:tcBorders>
            <w:noWrap/>
            <w:vAlign w:val="bottom"/>
            <w:hideMark/>
          </w:tcPr>
          <w:p w14:paraId="1A7C85D8"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36276A3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2122830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440A064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4F9F9DFF"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397D0F10"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0DB7A0F9"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58A720D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1EA47ECD"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27A1410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900" w:type="dxa"/>
            <w:noWrap/>
            <w:vAlign w:val="bottom"/>
            <w:hideMark/>
          </w:tcPr>
          <w:p w14:paraId="7047CEF4"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810" w:type="dxa"/>
            <w:tcBorders>
              <w:right w:val="single" w:sz="4" w:space="0" w:color="auto"/>
            </w:tcBorders>
            <w:noWrap/>
            <w:vAlign w:val="bottom"/>
            <w:hideMark/>
          </w:tcPr>
          <w:p w14:paraId="0DDB4FB2"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r>
      <w:tr w:rsidR="000049B9" w:rsidRPr="00415161" w14:paraId="62CD4879" w14:textId="77777777" w:rsidTr="000049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right w:val="single" w:sz="4" w:space="0" w:color="auto"/>
            </w:tcBorders>
            <w:noWrap/>
            <w:vAlign w:val="bottom"/>
            <w:hideMark/>
          </w:tcPr>
          <w:p w14:paraId="0A35B3FF"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Lincoln</w:t>
            </w:r>
          </w:p>
        </w:tc>
        <w:tc>
          <w:tcPr>
            <w:tcW w:w="629" w:type="dxa"/>
            <w:tcBorders>
              <w:left w:val="single" w:sz="4" w:space="0" w:color="auto"/>
            </w:tcBorders>
            <w:noWrap/>
            <w:vAlign w:val="bottom"/>
            <w:hideMark/>
          </w:tcPr>
          <w:p w14:paraId="494702F2"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60</w:t>
            </w:r>
          </w:p>
        </w:tc>
        <w:tc>
          <w:tcPr>
            <w:tcW w:w="540" w:type="dxa"/>
            <w:tcBorders>
              <w:right w:val="single" w:sz="4" w:space="0" w:color="auto"/>
            </w:tcBorders>
            <w:noWrap/>
            <w:vAlign w:val="bottom"/>
            <w:hideMark/>
          </w:tcPr>
          <w:p w14:paraId="4448D86D" w14:textId="77777777" w:rsidR="000049B9" w:rsidRPr="00210AC8"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22</w:t>
            </w:r>
          </w:p>
        </w:tc>
        <w:tc>
          <w:tcPr>
            <w:tcW w:w="450" w:type="dxa"/>
            <w:tcBorders>
              <w:left w:val="single" w:sz="4" w:space="0" w:color="auto"/>
            </w:tcBorders>
            <w:noWrap/>
            <w:vAlign w:val="bottom"/>
            <w:hideMark/>
          </w:tcPr>
          <w:p w14:paraId="39A3B79F"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58C8296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11EA0C33"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450" w:type="dxa"/>
            <w:noWrap/>
            <w:vAlign w:val="bottom"/>
            <w:hideMark/>
          </w:tcPr>
          <w:p w14:paraId="5AE2AC9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tcBorders>
              <w:right w:val="single" w:sz="4" w:space="0" w:color="auto"/>
            </w:tcBorders>
            <w:noWrap/>
            <w:vAlign w:val="bottom"/>
            <w:hideMark/>
          </w:tcPr>
          <w:p w14:paraId="4503C8D7"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tcBorders>
              <w:left w:val="single" w:sz="4" w:space="0" w:color="auto"/>
            </w:tcBorders>
            <w:noWrap/>
            <w:vAlign w:val="bottom"/>
            <w:hideMark/>
          </w:tcPr>
          <w:p w14:paraId="3D3CAB7C"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5B8B838B"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124260FD"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630" w:type="dxa"/>
            <w:noWrap/>
            <w:vAlign w:val="bottom"/>
            <w:hideMark/>
          </w:tcPr>
          <w:p w14:paraId="178F7632"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noWrap/>
            <w:vAlign w:val="bottom"/>
            <w:hideMark/>
          </w:tcPr>
          <w:p w14:paraId="75B61D0D"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630" w:type="dxa"/>
            <w:noWrap/>
            <w:vAlign w:val="bottom"/>
            <w:hideMark/>
          </w:tcPr>
          <w:p w14:paraId="66856119"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noWrap/>
            <w:vAlign w:val="bottom"/>
            <w:hideMark/>
          </w:tcPr>
          <w:p w14:paraId="25EAF325"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noWrap/>
            <w:vAlign w:val="bottom"/>
            <w:hideMark/>
          </w:tcPr>
          <w:p w14:paraId="417E9DF8"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317F1088"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noWrap/>
            <w:vAlign w:val="bottom"/>
            <w:hideMark/>
          </w:tcPr>
          <w:p w14:paraId="72A9F849"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900" w:type="dxa"/>
            <w:noWrap/>
            <w:vAlign w:val="bottom"/>
            <w:hideMark/>
          </w:tcPr>
          <w:p w14:paraId="7DA70246"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810" w:type="dxa"/>
            <w:tcBorders>
              <w:right w:val="single" w:sz="4" w:space="0" w:color="auto"/>
            </w:tcBorders>
            <w:noWrap/>
            <w:vAlign w:val="bottom"/>
            <w:hideMark/>
          </w:tcPr>
          <w:p w14:paraId="0B0F3E14" w14:textId="77777777" w:rsidR="000049B9" w:rsidRPr="00415161" w:rsidRDefault="000049B9" w:rsidP="003305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r>
      <w:tr w:rsidR="000049B9" w:rsidRPr="00415161" w14:paraId="4440CC30" w14:textId="77777777" w:rsidTr="000049B9">
        <w:trPr>
          <w:trHeight w:val="255"/>
        </w:trPr>
        <w:tc>
          <w:tcPr>
            <w:cnfStyle w:val="001000000000" w:firstRow="0" w:lastRow="0" w:firstColumn="1" w:lastColumn="0" w:oddVBand="0" w:evenVBand="0" w:oddHBand="0" w:evenHBand="0" w:firstRowFirstColumn="0" w:firstRowLastColumn="0" w:lastRowFirstColumn="0" w:lastRowLastColumn="0"/>
            <w:tcW w:w="1261" w:type="dxa"/>
            <w:tcBorders>
              <w:left w:val="single" w:sz="4" w:space="0" w:color="auto"/>
              <w:bottom w:val="single" w:sz="4" w:space="0" w:color="auto"/>
              <w:right w:val="single" w:sz="4" w:space="0" w:color="auto"/>
            </w:tcBorders>
            <w:noWrap/>
            <w:vAlign w:val="bottom"/>
            <w:hideMark/>
          </w:tcPr>
          <w:p w14:paraId="78624789" w14:textId="77777777" w:rsidR="000049B9" w:rsidRPr="00415161" w:rsidRDefault="000049B9" w:rsidP="00330574">
            <w:pPr>
              <w:rPr>
                <w:rFonts w:ascii="Arial" w:eastAsia="Times New Roman" w:hAnsi="Arial" w:cs="Arial"/>
                <w:i w:val="0"/>
                <w:iCs w:val="0"/>
                <w:sz w:val="20"/>
                <w:szCs w:val="20"/>
              </w:rPr>
            </w:pPr>
            <w:r w:rsidRPr="00415161">
              <w:rPr>
                <w:rFonts w:ascii="Arial" w:hAnsi="Arial" w:cs="Arial"/>
                <w:sz w:val="20"/>
                <w:szCs w:val="20"/>
              </w:rPr>
              <w:t>Teton</w:t>
            </w:r>
          </w:p>
        </w:tc>
        <w:tc>
          <w:tcPr>
            <w:tcW w:w="629" w:type="dxa"/>
            <w:tcBorders>
              <w:left w:val="single" w:sz="4" w:space="0" w:color="auto"/>
              <w:bottom w:val="single" w:sz="4" w:space="0" w:color="auto"/>
            </w:tcBorders>
            <w:noWrap/>
            <w:vAlign w:val="bottom"/>
            <w:hideMark/>
          </w:tcPr>
          <w:p w14:paraId="6D5F3D17"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60</w:t>
            </w:r>
          </w:p>
        </w:tc>
        <w:tc>
          <w:tcPr>
            <w:tcW w:w="540" w:type="dxa"/>
            <w:tcBorders>
              <w:bottom w:val="single" w:sz="4" w:space="0" w:color="auto"/>
              <w:right w:val="single" w:sz="4" w:space="0" w:color="auto"/>
            </w:tcBorders>
            <w:noWrap/>
            <w:vAlign w:val="bottom"/>
            <w:hideMark/>
          </w:tcPr>
          <w:p w14:paraId="79B791F7" w14:textId="77777777" w:rsidR="000049B9" w:rsidRPr="00210AC8"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210AC8">
              <w:rPr>
                <w:rFonts w:ascii="Arial" w:hAnsi="Arial" w:cs="Arial"/>
                <w:b/>
                <w:bCs/>
                <w:sz w:val="20"/>
                <w:szCs w:val="20"/>
              </w:rPr>
              <w:t>23</w:t>
            </w:r>
          </w:p>
        </w:tc>
        <w:tc>
          <w:tcPr>
            <w:tcW w:w="450" w:type="dxa"/>
            <w:tcBorders>
              <w:left w:val="single" w:sz="4" w:space="0" w:color="auto"/>
              <w:bottom w:val="single" w:sz="4" w:space="0" w:color="auto"/>
            </w:tcBorders>
            <w:noWrap/>
            <w:vAlign w:val="bottom"/>
            <w:hideMark/>
          </w:tcPr>
          <w:p w14:paraId="12679F41"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tcBorders>
              <w:bottom w:val="single" w:sz="4" w:space="0" w:color="auto"/>
            </w:tcBorders>
            <w:noWrap/>
            <w:vAlign w:val="bottom"/>
            <w:hideMark/>
          </w:tcPr>
          <w:p w14:paraId="2C553118"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tcBorders>
              <w:bottom w:val="single" w:sz="4" w:space="0" w:color="auto"/>
            </w:tcBorders>
            <w:noWrap/>
            <w:vAlign w:val="bottom"/>
            <w:hideMark/>
          </w:tcPr>
          <w:p w14:paraId="5B492D3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450" w:type="dxa"/>
            <w:tcBorders>
              <w:bottom w:val="single" w:sz="4" w:space="0" w:color="auto"/>
            </w:tcBorders>
            <w:noWrap/>
            <w:vAlign w:val="bottom"/>
            <w:hideMark/>
          </w:tcPr>
          <w:p w14:paraId="2157E24F"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tcBorders>
              <w:bottom w:val="single" w:sz="4" w:space="0" w:color="auto"/>
              <w:right w:val="single" w:sz="4" w:space="0" w:color="auto"/>
            </w:tcBorders>
            <w:noWrap/>
            <w:vAlign w:val="bottom"/>
            <w:hideMark/>
          </w:tcPr>
          <w:p w14:paraId="4391AFF0"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540" w:type="dxa"/>
            <w:tcBorders>
              <w:left w:val="single" w:sz="4" w:space="0" w:color="auto"/>
              <w:bottom w:val="single" w:sz="4" w:space="0" w:color="auto"/>
            </w:tcBorders>
            <w:noWrap/>
            <w:vAlign w:val="bottom"/>
            <w:hideMark/>
          </w:tcPr>
          <w:p w14:paraId="47176FB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bottom w:val="single" w:sz="4" w:space="0" w:color="auto"/>
            </w:tcBorders>
            <w:noWrap/>
            <w:vAlign w:val="bottom"/>
            <w:hideMark/>
          </w:tcPr>
          <w:p w14:paraId="69259E0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tcBorders>
              <w:bottom w:val="single" w:sz="4" w:space="0" w:color="auto"/>
            </w:tcBorders>
            <w:noWrap/>
            <w:vAlign w:val="bottom"/>
            <w:hideMark/>
          </w:tcPr>
          <w:p w14:paraId="632CC850"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630" w:type="dxa"/>
            <w:tcBorders>
              <w:bottom w:val="single" w:sz="4" w:space="0" w:color="auto"/>
            </w:tcBorders>
            <w:noWrap/>
            <w:vAlign w:val="bottom"/>
            <w:hideMark/>
          </w:tcPr>
          <w:p w14:paraId="480D875E"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2</w:t>
            </w:r>
          </w:p>
        </w:tc>
        <w:tc>
          <w:tcPr>
            <w:tcW w:w="630" w:type="dxa"/>
            <w:tcBorders>
              <w:bottom w:val="single" w:sz="4" w:space="0" w:color="auto"/>
            </w:tcBorders>
            <w:noWrap/>
            <w:vAlign w:val="bottom"/>
            <w:hideMark/>
          </w:tcPr>
          <w:p w14:paraId="4A0F06FA"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630" w:type="dxa"/>
            <w:tcBorders>
              <w:bottom w:val="single" w:sz="4" w:space="0" w:color="auto"/>
            </w:tcBorders>
            <w:noWrap/>
            <w:vAlign w:val="bottom"/>
            <w:hideMark/>
          </w:tcPr>
          <w:p w14:paraId="3D8B78E4"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tcBorders>
              <w:bottom w:val="single" w:sz="4" w:space="0" w:color="auto"/>
            </w:tcBorders>
            <w:noWrap/>
            <w:vAlign w:val="bottom"/>
            <w:hideMark/>
          </w:tcPr>
          <w:p w14:paraId="2AA99507"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540" w:type="dxa"/>
            <w:tcBorders>
              <w:bottom w:val="single" w:sz="4" w:space="0" w:color="auto"/>
            </w:tcBorders>
            <w:noWrap/>
            <w:vAlign w:val="bottom"/>
            <w:hideMark/>
          </w:tcPr>
          <w:p w14:paraId="46C6EAFC"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4</w:t>
            </w:r>
          </w:p>
        </w:tc>
        <w:tc>
          <w:tcPr>
            <w:tcW w:w="540" w:type="dxa"/>
            <w:tcBorders>
              <w:bottom w:val="single" w:sz="4" w:space="0" w:color="auto"/>
            </w:tcBorders>
            <w:noWrap/>
            <w:vAlign w:val="bottom"/>
            <w:hideMark/>
          </w:tcPr>
          <w:p w14:paraId="58319D49"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5</w:t>
            </w:r>
          </w:p>
        </w:tc>
        <w:tc>
          <w:tcPr>
            <w:tcW w:w="540" w:type="dxa"/>
            <w:tcBorders>
              <w:bottom w:val="single" w:sz="4" w:space="0" w:color="auto"/>
            </w:tcBorders>
            <w:noWrap/>
            <w:vAlign w:val="bottom"/>
            <w:hideMark/>
          </w:tcPr>
          <w:p w14:paraId="026BEE43"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1</w:t>
            </w:r>
          </w:p>
        </w:tc>
        <w:tc>
          <w:tcPr>
            <w:tcW w:w="900" w:type="dxa"/>
            <w:tcBorders>
              <w:bottom w:val="single" w:sz="4" w:space="0" w:color="auto"/>
            </w:tcBorders>
            <w:noWrap/>
            <w:vAlign w:val="bottom"/>
            <w:hideMark/>
          </w:tcPr>
          <w:p w14:paraId="01A033A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c>
          <w:tcPr>
            <w:tcW w:w="810" w:type="dxa"/>
            <w:tcBorders>
              <w:bottom w:val="single" w:sz="4" w:space="0" w:color="auto"/>
              <w:right w:val="single" w:sz="4" w:space="0" w:color="auto"/>
            </w:tcBorders>
            <w:noWrap/>
            <w:vAlign w:val="bottom"/>
            <w:hideMark/>
          </w:tcPr>
          <w:p w14:paraId="79EAEADB" w14:textId="77777777" w:rsidR="000049B9" w:rsidRPr="00415161" w:rsidRDefault="000049B9" w:rsidP="003305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5161">
              <w:rPr>
                <w:rFonts w:ascii="Arial" w:hAnsi="Arial" w:cs="Arial"/>
                <w:sz w:val="20"/>
                <w:szCs w:val="20"/>
              </w:rPr>
              <w:t>3</w:t>
            </w:r>
          </w:p>
        </w:tc>
      </w:tr>
    </w:tbl>
    <w:p w14:paraId="7B72FA74" w14:textId="1D6A6277" w:rsidR="00696D35" w:rsidRDefault="00865503" w:rsidP="00813B97">
      <w:pPr>
        <w:rPr>
          <w:sz w:val="22"/>
          <w:szCs w:val="22"/>
        </w:rPr>
      </w:pPr>
      <w:r>
        <w:rPr>
          <w:sz w:val="22"/>
          <w:szCs w:val="22"/>
        </w:rPr>
        <w:t>Quintile ranks: 5 = high, 1 = low</w:t>
      </w:r>
    </w:p>
    <w:p w14:paraId="7D686BF5" w14:textId="1280A61A" w:rsidR="00696D35" w:rsidRDefault="00696D35" w:rsidP="00813B97">
      <w:pPr>
        <w:rPr>
          <w:sz w:val="22"/>
          <w:szCs w:val="22"/>
        </w:rPr>
        <w:sectPr w:rsidR="00696D35" w:rsidSect="00CC0E1A">
          <w:pgSz w:w="15840" w:h="12240" w:orient="landscape"/>
          <w:pgMar w:top="720" w:right="720" w:bottom="720" w:left="720" w:header="720" w:footer="720" w:gutter="0"/>
          <w:cols w:space="720"/>
          <w:titlePg/>
          <w:docGrid w:linePitch="360"/>
        </w:sectPr>
      </w:pPr>
    </w:p>
    <w:p w14:paraId="3C3ED76E" w14:textId="3C0703A4" w:rsidR="00F83382" w:rsidRPr="00A83105" w:rsidRDefault="00DA22A2" w:rsidP="001235FD">
      <w:pPr>
        <w:pStyle w:val="Heading1"/>
      </w:pPr>
      <w:bookmarkStart w:id="7" w:name="_Toc61961294"/>
      <w:r w:rsidRPr="00A83105">
        <w:t>D</w:t>
      </w:r>
      <w:r w:rsidR="001235FD" w:rsidRPr="00A83105">
        <w:t>iscussion</w:t>
      </w:r>
      <w:bookmarkEnd w:id="7"/>
    </w:p>
    <w:p w14:paraId="51A37FF7" w14:textId="7174BCEA" w:rsidR="00360F07" w:rsidRDefault="00360F07" w:rsidP="00813B97">
      <w:pPr>
        <w:rPr>
          <w:sz w:val="22"/>
          <w:szCs w:val="22"/>
        </w:rPr>
      </w:pPr>
      <w:r>
        <w:rPr>
          <w:sz w:val="22"/>
          <w:szCs w:val="22"/>
        </w:rPr>
        <w:t xml:space="preserve">In </w:t>
      </w:r>
      <w:r w:rsidR="00D375D7">
        <w:rPr>
          <w:sz w:val="22"/>
          <w:szCs w:val="22"/>
        </w:rPr>
        <w:t>this</w:t>
      </w:r>
      <w:r>
        <w:rPr>
          <w:sz w:val="22"/>
          <w:szCs w:val="22"/>
        </w:rPr>
        <w:t xml:space="preserve"> assessment, our team </w:t>
      </w:r>
      <w:r w:rsidR="00D375D7">
        <w:rPr>
          <w:sz w:val="22"/>
          <w:szCs w:val="22"/>
        </w:rPr>
        <w:t>used data representing a range of public health, demographic, and socioeconomic measures to estimate opioid-related vulnerability in the state of Wyoming on the county level. We found that over-prescribing of opioids may be an issue of concern in counties with higher rates of opioid overdose;</w:t>
      </w:r>
      <w:r w:rsidR="008C3CD7">
        <w:rPr>
          <w:sz w:val="22"/>
          <w:szCs w:val="22"/>
        </w:rPr>
        <w:t xml:space="preserve"> that non-fatal opioid overdose patterns </w:t>
      </w:r>
      <w:r w:rsidR="00325935">
        <w:rPr>
          <w:sz w:val="22"/>
          <w:szCs w:val="22"/>
        </w:rPr>
        <w:t xml:space="preserve">served as a solid proxy for risk for fatal overdoses, following </w:t>
      </w:r>
      <w:r w:rsidR="008C3CD7">
        <w:rPr>
          <w:sz w:val="22"/>
          <w:szCs w:val="22"/>
        </w:rPr>
        <w:t xml:space="preserve">similar </w:t>
      </w:r>
      <w:r w:rsidR="00325935">
        <w:rPr>
          <w:sz w:val="22"/>
          <w:szCs w:val="22"/>
        </w:rPr>
        <w:t>spatial</w:t>
      </w:r>
      <w:r w:rsidR="008C3CD7">
        <w:rPr>
          <w:sz w:val="22"/>
          <w:szCs w:val="22"/>
        </w:rPr>
        <w:t xml:space="preserve"> patterns </w:t>
      </w:r>
      <w:r w:rsidR="00325935">
        <w:rPr>
          <w:sz w:val="22"/>
          <w:szCs w:val="22"/>
        </w:rPr>
        <w:t>across the state</w:t>
      </w:r>
      <w:r w:rsidR="008C3CD7">
        <w:rPr>
          <w:sz w:val="22"/>
          <w:szCs w:val="22"/>
        </w:rPr>
        <w:t>; and</w:t>
      </w:r>
      <w:r w:rsidR="00D375D7">
        <w:rPr>
          <w:sz w:val="22"/>
          <w:szCs w:val="22"/>
        </w:rPr>
        <w:t xml:space="preserve"> that access to treatment </w:t>
      </w:r>
      <w:r w:rsidR="00ED5BF4">
        <w:rPr>
          <w:sz w:val="22"/>
          <w:szCs w:val="22"/>
        </w:rPr>
        <w:t xml:space="preserve">for </w:t>
      </w:r>
      <w:r w:rsidR="00D375D7">
        <w:rPr>
          <w:sz w:val="22"/>
          <w:szCs w:val="22"/>
        </w:rPr>
        <w:t>OUD</w:t>
      </w:r>
      <w:r w:rsidR="00932CB1">
        <w:rPr>
          <w:sz w:val="22"/>
          <w:szCs w:val="22"/>
        </w:rPr>
        <w:t xml:space="preserve"> wa</w:t>
      </w:r>
      <w:r w:rsidR="00D375D7">
        <w:rPr>
          <w:sz w:val="22"/>
          <w:szCs w:val="22"/>
        </w:rPr>
        <w:t xml:space="preserve">s </w:t>
      </w:r>
      <w:r w:rsidR="00932CB1">
        <w:rPr>
          <w:sz w:val="22"/>
          <w:szCs w:val="22"/>
        </w:rPr>
        <w:t>limited</w:t>
      </w:r>
      <w:r w:rsidR="00211F2D">
        <w:rPr>
          <w:sz w:val="22"/>
          <w:szCs w:val="22"/>
        </w:rPr>
        <w:t xml:space="preserve">. </w:t>
      </w:r>
      <w:r w:rsidR="00932CB1">
        <w:rPr>
          <w:sz w:val="22"/>
          <w:szCs w:val="22"/>
        </w:rPr>
        <w:t>W</w:t>
      </w:r>
      <w:r w:rsidR="00211F2D">
        <w:rPr>
          <w:sz w:val="22"/>
          <w:szCs w:val="22"/>
        </w:rPr>
        <w:t xml:space="preserve">e identified </w:t>
      </w:r>
      <w:r w:rsidR="00932CB1">
        <w:rPr>
          <w:sz w:val="22"/>
          <w:szCs w:val="22"/>
        </w:rPr>
        <w:t>five counties</w:t>
      </w:r>
      <w:r w:rsidR="00E9619D">
        <w:rPr>
          <w:sz w:val="22"/>
          <w:szCs w:val="22"/>
        </w:rPr>
        <w:t xml:space="preserve"> with high vulnerability levels</w:t>
      </w:r>
      <w:r w:rsidR="00932CB1">
        <w:rPr>
          <w:sz w:val="22"/>
          <w:szCs w:val="22"/>
        </w:rPr>
        <w:t>:</w:t>
      </w:r>
      <w:r w:rsidR="00211F2D">
        <w:rPr>
          <w:sz w:val="22"/>
          <w:szCs w:val="22"/>
        </w:rPr>
        <w:t xml:space="preserve"> Hot Springs, Carbon, Natrona, Fremont, and Sweetwater</w:t>
      </w:r>
      <w:r w:rsidR="00932CB1">
        <w:rPr>
          <w:sz w:val="22"/>
          <w:szCs w:val="22"/>
        </w:rPr>
        <w:t>. T</w:t>
      </w:r>
      <w:r w:rsidR="0053370A">
        <w:rPr>
          <w:sz w:val="22"/>
          <w:szCs w:val="22"/>
        </w:rPr>
        <w:t>argeted and t</w:t>
      </w:r>
      <w:r w:rsidR="00932CB1">
        <w:rPr>
          <w:sz w:val="22"/>
          <w:szCs w:val="22"/>
        </w:rPr>
        <w:t>ailored intervention approaches, which take into consideration each county’s</w:t>
      </w:r>
      <w:r w:rsidR="00211F2D">
        <w:rPr>
          <w:sz w:val="22"/>
          <w:szCs w:val="22"/>
        </w:rPr>
        <w:t xml:space="preserve"> mix of risk and protective factors </w:t>
      </w:r>
      <w:r w:rsidR="00932CB1">
        <w:rPr>
          <w:sz w:val="22"/>
          <w:szCs w:val="22"/>
        </w:rPr>
        <w:t>related to</w:t>
      </w:r>
      <w:r w:rsidR="00211F2D">
        <w:rPr>
          <w:sz w:val="22"/>
          <w:szCs w:val="22"/>
        </w:rPr>
        <w:t xml:space="preserve"> opioid-related injury and mortality, </w:t>
      </w:r>
      <w:r w:rsidR="0053370A">
        <w:rPr>
          <w:sz w:val="22"/>
          <w:szCs w:val="22"/>
        </w:rPr>
        <w:t>are needed</w:t>
      </w:r>
      <w:r w:rsidR="00211F2D">
        <w:rPr>
          <w:sz w:val="22"/>
          <w:szCs w:val="22"/>
        </w:rPr>
        <w:t xml:space="preserve">. </w:t>
      </w:r>
      <w:r w:rsidR="00D375D7">
        <w:rPr>
          <w:sz w:val="22"/>
          <w:szCs w:val="22"/>
        </w:rPr>
        <w:t xml:space="preserve"> </w:t>
      </w:r>
    </w:p>
    <w:p w14:paraId="318679D3" w14:textId="0487FEA4" w:rsidR="00483EE1" w:rsidRDefault="00A114E5" w:rsidP="00813B97">
      <w:pPr>
        <w:rPr>
          <w:sz w:val="22"/>
          <w:szCs w:val="22"/>
        </w:rPr>
      </w:pPr>
      <w:r>
        <w:rPr>
          <w:sz w:val="22"/>
          <w:szCs w:val="22"/>
        </w:rPr>
        <w:t xml:space="preserve">First, our vulnerability assessment suggests that prescription opioids may still be an issue of concern in the state of Wyoming. </w:t>
      </w:r>
      <w:r w:rsidR="00FF28F5">
        <w:rPr>
          <w:sz w:val="22"/>
          <w:szCs w:val="22"/>
        </w:rPr>
        <w:t>In many regions of the United States, the prescription opioid crisis has abated somewhat, in the wake of new prescribing rules and the implementation of Prescription Drug Monitoring Programs (PDMPs) that require clinicians to check patient prescribing records before prescribing an opioid.</w:t>
      </w:r>
      <w:r w:rsidR="00435913">
        <w:rPr>
          <w:sz w:val="22"/>
          <w:szCs w:val="22"/>
        </w:rPr>
        <w:fldChar w:fldCharType="begin"/>
      </w:r>
      <w:r w:rsidR="00573A4E">
        <w:rPr>
          <w:sz w:val="22"/>
          <w:szCs w:val="22"/>
        </w:rPr>
        <w:instrText xml:space="preserve"> ADDIN ZOTERO_ITEM CSL_CITATION {"citationID":"8ipH0yi7","properties":{"formattedCitation":"\\super 20,21\\nosupersub{}","plainCitation":"20,21","noteIndex":0},"citationItems":[{"id":94,"uris":["http://zotero.org/users/454081/items/L25LYF2H"],"uri":["http://zotero.org/users/454081/items/L25LYF2H"],"itemData":{"id":94,"type":"article-journal","container-title":"New England Journal of Medicine","DOI":"10.1056/NEJMp1904714","ISSN":"0028-4793, 1533-4406","issue":"8","journalAbbreviation":"N Engl J Med","language":"en","page":"699-701","source":"DOI.org (Crossref)","title":"Prescription Drug Monitoring Programs — Friend or Folly in Addressing the Opioid-Overdose Crisis?","volume":"381","author":[{"family":"Haffajee","given":"Rebecca L."}],"issued":{"date-parts":[["2019",8,22]]}}},{"id":83,"uris":["http://zotero.org/users/454081/items/A4DDFD6R"],"uri":["http://zotero.org/users/454081/items/A4DDFD6R"],"itemData":{"id":83,"type":"article-journal","abstract":"State prescription drug monitoring programs (PDMPs) aim to reduce risky controlled-substance prescribing, but early programs had limited impact. Several states implemented robust features in 2012–13, such as mandates that prescribers register with the program and regularly check its registry database. Some states allow prescribers to fulfill the latter requirement by designating delegates to check the registry. The effects of robust PDMP features have not been fully assessed. We used commercial claims data to examine the effects of implementing robust PDMPs in four states on overall and high-risk opioid prescribing, comparing those results to trends in similar states without robust PDMPs. By the end of 2014 the absolute mean morphine-equivalent dosages that providers dispensed declined in a range of 6–77 mg per person per quarter in the four states, relative to comparison states. Only in one of the four states, Kentucky, did the percentage of people who filled opioid prescriptions decline versus its comparator state, with an absolute reduction of 1.6 percent by the end of 2014. Robust PDMPs may be able to significantly reduce opioid dosages dispensed, percentages of patients receiving opioids, and high-risk prescribing.","container-title":"Health Affairs","DOI":"10.1377/hlthaff.2017.1321","ISSN":"0278-2715, 1544-5208","issue":"6","journalAbbreviation":"Health Affairs","language":"en","page":"964-974","source":"DOI.org (Crossref)","title":"Four States With Robust Prescription Drug Monitoring Programs Reduced Opioid Dosages","volume":"37","author":[{"family":"Haffajee","given":"Rebecca L."},{"family":"Mello","given":"Michelle M."},{"family":"Zhang","given":"Fang"},{"family":"Zaslavsky","given":"Alan M."},{"family":"Larochelle","given":"Marc R."},{"family":"Wharam","given":"J. Frank"}],"issued":{"date-parts":[["2018",6]]}}}],"schema":"https://github.com/citation-style-language/schema/raw/master/csl-citation.json"} </w:instrText>
      </w:r>
      <w:r w:rsidR="00435913">
        <w:rPr>
          <w:sz w:val="22"/>
          <w:szCs w:val="22"/>
        </w:rPr>
        <w:fldChar w:fldCharType="separate"/>
      </w:r>
      <w:r w:rsidR="00573A4E" w:rsidRPr="00573A4E">
        <w:rPr>
          <w:rFonts w:ascii="Calibri" w:hAnsi="Calibri" w:cs="Calibri"/>
          <w:sz w:val="22"/>
          <w:szCs w:val="24"/>
          <w:vertAlign w:val="superscript"/>
        </w:rPr>
        <w:t>20,21</w:t>
      </w:r>
      <w:r w:rsidR="00435913">
        <w:rPr>
          <w:sz w:val="22"/>
          <w:szCs w:val="22"/>
        </w:rPr>
        <w:fldChar w:fldCharType="end"/>
      </w:r>
      <w:r w:rsidR="00435913">
        <w:rPr>
          <w:sz w:val="22"/>
          <w:szCs w:val="22"/>
        </w:rPr>
        <w:t xml:space="preserve"> </w:t>
      </w:r>
      <w:r w:rsidR="0053370A">
        <w:rPr>
          <w:sz w:val="22"/>
          <w:szCs w:val="22"/>
        </w:rPr>
        <w:t xml:space="preserve">While the </w:t>
      </w:r>
      <w:r w:rsidR="00FF28F5">
        <w:rPr>
          <w:sz w:val="22"/>
          <w:szCs w:val="22"/>
        </w:rPr>
        <w:t>CDC identifie</w:t>
      </w:r>
      <w:r w:rsidR="0053370A">
        <w:rPr>
          <w:sz w:val="22"/>
          <w:szCs w:val="22"/>
        </w:rPr>
        <w:t>d</w:t>
      </w:r>
      <w:r w:rsidR="00FF28F5">
        <w:rPr>
          <w:sz w:val="22"/>
          <w:szCs w:val="22"/>
        </w:rPr>
        <w:t xml:space="preserve"> the prescription opioid crisis as the first of three “waves”</w:t>
      </w:r>
      <w:r w:rsidR="0053370A">
        <w:rPr>
          <w:sz w:val="22"/>
          <w:szCs w:val="22"/>
        </w:rPr>
        <w:t xml:space="preserve"> in the opioid crisis, and an abatement of prescription-opioid related deaths by 2010 in most states,</w:t>
      </w:r>
      <w:r w:rsidR="00D260F9">
        <w:rPr>
          <w:sz w:val="22"/>
          <w:szCs w:val="22"/>
        </w:rPr>
        <w:fldChar w:fldCharType="begin"/>
      </w:r>
      <w:r w:rsidR="00573A4E">
        <w:rPr>
          <w:sz w:val="22"/>
          <w:szCs w:val="22"/>
        </w:rPr>
        <w:instrText xml:space="preserve"> ADDIN ZOTERO_ITEM CSL_CITATION {"citationID":"Afan9wyC","properties":{"formattedCitation":"\\super 22\\nosupersub{}","plainCitation":"22","noteIndex":0},"citationItems":[{"id":99,"uris":["http://zotero.org/users/454081/items/H9GKPKXA"],"uri":["http://zotero.org/users/454081/items/H9GKPKXA"],"itemData":{"id":99,"type":"article-journal","container-title":"International Journal of Drug Policy","DOI":"10.1016/j.drugpo.2019.01.010","ISSN":"0955-3959","journalAbbreviation":"International Journal of Drug Policy","language":"en","source":"ScienceDirect","title":"The triple wave epidemic: Supply and demand drivers of the US opioid overdose crisis","title-short":"The triple wave epidemic","URL":"http://www.sciencedirect.com/science/article/pii/S0955395919300180","author":[{"family":"Ciccarone","given":"Daniel"}],"accessed":{"date-parts":[["2019",10,31]]},"issued":{"date-parts":[["2019",2,2]]}}}],"schema":"https://github.com/citation-style-language/schema/raw/master/csl-citation.json"} </w:instrText>
      </w:r>
      <w:r w:rsidR="00D260F9">
        <w:rPr>
          <w:sz w:val="22"/>
          <w:szCs w:val="22"/>
        </w:rPr>
        <w:fldChar w:fldCharType="separate"/>
      </w:r>
      <w:r w:rsidR="00573A4E" w:rsidRPr="00573A4E">
        <w:rPr>
          <w:rFonts w:ascii="Calibri" w:hAnsi="Calibri" w:cs="Calibri"/>
          <w:sz w:val="22"/>
          <w:szCs w:val="24"/>
          <w:vertAlign w:val="superscript"/>
        </w:rPr>
        <w:t>22</w:t>
      </w:r>
      <w:r w:rsidR="00D260F9">
        <w:rPr>
          <w:sz w:val="22"/>
          <w:szCs w:val="22"/>
        </w:rPr>
        <w:fldChar w:fldCharType="end"/>
      </w:r>
      <w:r w:rsidR="002C0533">
        <w:rPr>
          <w:sz w:val="22"/>
          <w:szCs w:val="22"/>
        </w:rPr>
        <w:t xml:space="preserve"> </w:t>
      </w:r>
      <w:r w:rsidR="00483EE1">
        <w:rPr>
          <w:sz w:val="22"/>
          <w:szCs w:val="22"/>
        </w:rPr>
        <w:t xml:space="preserve">our vulnerability assessment suggests that </w:t>
      </w:r>
      <w:r w:rsidR="0053370A">
        <w:rPr>
          <w:sz w:val="22"/>
          <w:szCs w:val="22"/>
        </w:rPr>
        <w:t>Wyoming</w:t>
      </w:r>
      <w:r w:rsidR="00D260F9">
        <w:rPr>
          <w:sz w:val="22"/>
          <w:szCs w:val="22"/>
        </w:rPr>
        <w:t xml:space="preserve"> may still be </w:t>
      </w:r>
      <w:r w:rsidR="0053370A">
        <w:rPr>
          <w:sz w:val="22"/>
          <w:szCs w:val="22"/>
        </w:rPr>
        <w:t>experiencing substantial effects of the first wave</w:t>
      </w:r>
      <w:r w:rsidR="00D260F9">
        <w:rPr>
          <w:sz w:val="22"/>
          <w:szCs w:val="22"/>
        </w:rPr>
        <w:t xml:space="preserve">. </w:t>
      </w:r>
    </w:p>
    <w:p w14:paraId="4BCBC23E" w14:textId="5B705547" w:rsidR="00F27BC5" w:rsidRDefault="00251D61" w:rsidP="00813B97">
      <w:pPr>
        <w:rPr>
          <w:sz w:val="22"/>
          <w:szCs w:val="22"/>
        </w:rPr>
      </w:pPr>
      <w:r w:rsidRPr="00791F12">
        <w:rPr>
          <w:sz w:val="22"/>
          <w:szCs w:val="22"/>
        </w:rPr>
        <w:t>Data from the Wyoming Department of Health Substance Abuse Prevention dashboard indicate that prescription opioids are a major contributor to non-fatal opioid overdose.</w:t>
      </w:r>
      <w:r>
        <w:rPr>
          <w:sz w:val="22"/>
          <w:szCs w:val="22"/>
        </w:rPr>
        <w:t xml:space="preserve"> Between 2016-2018, prescription opioids were responsible for 86 percent of opioid-related emergency room visits and 91.2 percent of opioid-related hospitalizations.</w:t>
      </w:r>
      <w:r>
        <w:rPr>
          <w:sz w:val="22"/>
          <w:szCs w:val="22"/>
        </w:rPr>
        <w:fldChar w:fldCharType="begin"/>
      </w:r>
      <w:r w:rsidR="00573A4E">
        <w:rPr>
          <w:sz w:val="22"/>
          <w:szCs w:val="22"/>
        </w:rPr>
        <w:instrText xml:space="preserve"> ADDIN ZOTERO_ITEM CSL_CITATION {"citationID":"3ssqH5hO","properties":{"formattedCitation":"\\super 23\\nosupersub{}","plainCitation":"23","noteIndex":0},"citationItems":[{"id":1252,"uris":["http://zotero.org/users/454081/items/RRNW5845"],"uri":["http://zotero.org/users/454081/items/RRNW5845"],"itemData":{"id":1252,"type":"webpage","title":"Substance Abuse Prevention Data","URL":"https://sites.google.com/wyo.gov/sapdata","author":[{"family":"Wyoming","given":"Department of Health"}],"accessed":{"date-parts":[["2020",9,2]]}}}],"schema":"https://github.com/citation-style-language/schema/raw/master/csl-citation.json"} </w:instrText>
      </w:r>
      <w:r>
        <w:rPr>
          <w:sz w:val="22"/>
          <w:szCs w:val="22"/>
        </w:rPr>
        <w:fldChar w:fldCharType="separate"/>
      </w:r>
      <w:r w:rsidR="00573A4E" w:rsidRPr="00573A4E">
        <w:rPr>
          <w:rFonts w:ascii="Calibri" w:hAnsi="Calibri" w:cs="Calibri"/>
          <w:sz w:val="22"/>
          <w:szCs w:val="24"/>
          <w:vertAlign w:val="superscript"/>
        </w:rPr>
        <w:t>23</w:t>
      </w:r>
      <w:r>
        <w:rPr>
          <w:sz w:val="22"/>
          <w:szCs w:val="22"/>
        </w:rPr>
        <w:fldChar w:fldCharType="end"/>
      </w:r>
      <w:r>
        <w:rPr>
          <w:sz w:val="22"/>
          <w:szCs w:val="22"/>
        </w:rPr>
        <w:t xml:space="preserve"> </w:t>
      </w:r>
      <w:r w:rsidR="00F27BC5">
        <w:rPr>
          <w:sz w:val="22"/>
          <w:szCs w:val="22"/>
        </w:rPr>
        <w:t>Opioid p</w:t>
      </w:r>
      <w:r w:rsidR="00E9619D">
        <w:rPr>
          <w:sz w:val="22"/>
          <w:szCs w:val="22"/>
        </w:rPr>
        <w:t>rescribing is highest in Uinta C</w:t>
      </w:r>
      <w:r w:rsidR="00F27BC5">
        <w:rPr>
          <w:sz w:val="22"/>
          <w:szCs w:val="22"/>
        </w:rPr>
        <w:t xml:space="preserve">ounty, where between 2014-2016, there were more </w:t>
      </w:r>
      <w:r w:rsidR="00D85ED3">
        <w:rPr>
          <w:sz w:val="22"/>
          <w:szCs w:val="22"/>
        </w:rPr>
        <w:t xml:space="preserve">retail </w:t>
      </w:r>
      <w:r w:rsidR="00F27BC5">
        <w:rPr>
          <w:sz w:val="22"/>
          <w:szCs w:val="22"/>
        </w:rPr>
        <w:t>opioid prescriptions than residents</w:t>
      </w:r>
      <w:r w:rsidR="00D85ED3">
        <w:rPr>
          <w:sz w:val="22"/>
          <w:szCs w:val="22"/>
        </w:rPr>
        <w:t xml:space="preserve"> (1,075 per 1,000 population); however, this county is also home to the Wyoming State Hospital, a major provider of treatment for substance use and mental health disorders</w:t>
      </w:r>
      <w:r w:rsidR="00F27BC5">
        <w:rPr>
          <w:sz w:val="22"/>
          <w:szCs w:val="22"/>
        </w:rPr>
        <w:t>.</w:t>
      </w:r>
      <w:r w:rsidR="002C000B">
        <w:rPr>
          <w:sz w:val="22"/>
          <w:szCs w:val="22"/>
        </w:rPr>
        <w:fldChar w:fldCharType="begin"/>
      </w:r>
      <w:r w:rsidR="00DA22A2">
        <w:rPr>
          <w:sz w:val="22"/>
          <w:szCs w:val="22"/>
        </w:rPr>
        <w:instrText xml:space="preserve"> ADDIN ZOTERO_ITEM CSL_CITATION {"citationID":"EJ7cdQOo","properties":{"formattedCitation":"\\super 12\\nosupersub{}","plainCitation":"12","noteIndex":0},"citationItems":[{"id":1161,"uris":["http://zotero.org/users/454081/items/B7RCNIFT"],"uri":["http://zotero.org/users/454081/items/B7RCNIFT"],"itemData":{"id":1161,"type":"report","event-place":"Laramie, WY","publisher":"Wyoming Survey &amp; Analysis Center, University of Wyoming","publisher-place":"Laramie, WY","title":"Telling the Story of Opioid Use in Wyoming","URL":"https://health.wyo.gov/wp-content/uploads/2018/03/Telling-the-Story-of-Prescription-Opioid-Use-in-Wyoming.pdf","author":[{"family":"Wambeam","given":"Rodney"},{"family":"Gilbert","given":"Lauren"},{"family":"Kilwein","given":"Tess"}],"issued":{"date-parts":[["2018"]]}}}],"schema":"https://github.com/citation-style-language/schema/raw/master/csl-citation.json"} </w:instrText>
      </w:r>
      <w:r w:rsidR="002C000B">
        <w:rPr>
          <w:sz w:val="22"/>
          <w:szCs w:val="22"/>
        </w:rPr>
        <w:fldChar w:fldCharType="separate"/>
      </w:r>
      <w:r w:rsidR="00DA22A2" w:rsidRPr="00DA22A2">
        <w:rPr>
          <w:rFonts w:ascii="Calibri" w:hAnsi="Calibri" w:cs="Calibri"/>
          <w:sz w:val="22"/>
          <w:szCs w:val="24"/>
          <w:vertAlign w:val="superscript"/>
        </w:rPr>
        <w:t>12</w:t>
      </w:r>
      <w:r w:rsidR="002C000B">
        <w:rPr>
          <w:sz w:val="22"/>
          <w:szCs w:val="22"/>
        </w:rPr>
        <w:fldChar w:fldCharType="end"/>
      </w:r>
      <w:r w:rsidR="00D85ED3">
        <w:rPr>
          <w:sz w:val="22"/>
          <w:szCs w:val="22"/>
        </w:rPr>
        <w:t xml:space="preserve"> Hot Springs (997 per 1,000 population), Park (964), and Washakie (954) round out the top five </w:t>
      </w:r>
      <w:r w:rsidR="00325935">
        <w:rPr>
          <w:sz w:val="22"/>
          <w:szCs w:val="22"/>
        </w:rPr>
        <w:t xml:space="preserve">counties </w:t>
      </w:r>
      <w:r w:rsidR="00D85ED3">
        <w:rPr>
          <w:sz w:val="22"/>
          <w:szCs w:val="22"/>
        </w:rPr>
        <w:t>for opioid prescription</w:t>
      </w:r>
      <w:r w:rsidR="00325935">
        <w:rPr>
          <w:sz w:val="22"/>
          <w:szCs w:val="22"/>
        </w:rPr>
        <w:t xml:space="preserve"> rate</w:t>
      </w:r>
      <w:r w:rsidR="00D85ED3">
        <w:rPr>
          <w:sz w:val="22"/>
          <w:szCs w:val="22"/>
        </w:rPr>
        <w:t>s.</w:t>
      </w:r>
      <w:r w:rsidR="00D85ED3">
        <w:rPr>
          <w:sz w:val="22"/>
          <w:szCs w:val="22"/>
        </w:rPr>
        <w:fldChar w:fldCharType="begin"/>
      </w:r>
      <w:r w:rsidR="00DA22A2">
        <w:rPr>
          <w:sz w:val="22"/>
          <w:szCs w:val="22"/>
        </w:rPr>
        <w:instrText xml:space="preserve"> ADDIN ZOTERO_ITEM CSL_CITATION {"citationID":"WUrMn7jY","properties":{"formattedCitation":"\\super 12\\nosupersub{}","plainCitation":"12","noteIndex":0},"citationItems":[{"id":1161,"uris":["http://zotero.org/users/454081/items/B7RCNIFT"],"uri":["http://zotero.org/users/454081/items/B7RCNIFT"],"itemData":{"id":1161,"type":"report","event-place":"Laramie, WY","publisher":"Wyoming Survey &amp; Analysis Center, University of Wyoming","publisher-place":"Laramie, WY","title":"Telling the Story of Opioid Use in Wyoming","URL":"https://health.wyo.gov/wp-content/uploads/2018/03/Telling-the-Story-of-Prescription-Opioid-Use-in-Wyoming.pdf","author":[{"family":"Wambeam","given":"Rodney"},{"family":"Gilbert","given":"Lauren"},{"family":"Kilwein","given":"Tess"}],"issued":{"date-parts":[["2018"]]}}}],"schema":"https://github.com/citation-style-language/schema/raw/master/csl-citation.json"} </w:instrText>
      </w:r>
      <w:r w:rsidR="00D85ED3">
        <w:rPr>
          <w:sz w:val="22"/>
          <w:szCs w:val="22"/>
        </w:rPr>
        <w:fldChar w:fldCharType="separate"/>
      </w:r>
      <w:r w:rsidR="00DA22A2" w:rsidRPr="00DA22A2">
        <w:rPr>
          <w:rFonts w:ascii="Calibri" w:hAnsi="Calibri" w:cs="Calibri"/>
          <w:sz w:val="22"/>
          <w:szCs w:val="24"/>
          <w:vertAlign w:val="superscript"/>
        </w:rPr>
        <w:t>12</w:t>
      </w:r>
      <w:r w:rsidR="00D85ED3">
        <w:rPr>
          <w:sz w:val="22"/>
          <w:szCs w:val="22"/>
        </w:rPr>
        <w:fldChar w:fldCharType="end"/>
      </w:r>
      <w:r w:rsidR="00F27BC5">
        <w:rPr>
          <w:sz w:val="22"/>
          <w:szCs w:val="22"/>
        </w:rPr>
        <w:t xml:space="preserve"> </w:t>
      </w:r>
      <w:r w:rsidR="00142744">
        <w:rPr>
          <w:sz w:val="22"/>
          <w:szCs w:val="22"/>
        </w:rPr>
        <w:t xml:space="preserve">Diversion and home storage of prescribed opioids in excess of need may need to be addressed statewide. </w:t>
      </w:r>
      <w:r w:rsidR="00E26AB3">
        <w:rPr>
          <w:sz w:val="22"/>
          <w:szCs w:val="22"/>
        </w:rPr>
        <w:t>Wyoming does have a wide network of drug-takeback locations,</w:t>
      </w:r>
      <w:r w:rsidR="00142744">
        <w:rPr>
          <w:sz w:val="22"/>
          <w:szCs w:val="22"/>
        </w:rPr>
        <w:t xml:space="preserve"> with at least one per county,</w:t>
      </w:r>
      <w:r w:rsidR="00E26AB3">
        <w:rPr>
          <w:sz w:val="22"/>
          <w:szCs w:val="22"/>
        </w:rPr>
        <w:t xml:space="preserve"> but </w:t>
      </w:r>
      <w:r w:rsidR="00142744">
        <w:rPr>
          <w:sz w:val="22"/>
          <w:szCs w:val="22"/>
        </w:rPr>
        <w:t>at least one recent study indicated that patients lack knowledge about proper disposal of excess medications.</w:t>
      </w:r>
      <w:r w:rsidR="00142744">
        <w:rPr>
          <w:sz w:val="22"/>
          <w:szCs w:val="22"/>
        </w:rPr>
        <w:fldChar w:fldCharType="begin"/>
      </w:r>
      <w:r w:rsidR="00573A4E">
        <w:rPr>
          <w:sz w:val="22"/>
          <w:szCs w:val="22"/>
        </w:rPr>
        <w:instrText xml:space="preserve"> ADDIN ZOTERO_ITEM CSL_CITATION {"citationID":"eN9w1koU","properties":{"formattedCitation":"\\super 24\\nosupersub{}","plainCitation":"24","noteIndex":0},"citationItems":[{"id":1341,"uris":["http://zotero.org/users/454081/items/IDJD45K5"],"uri":["http://zotero.org/users/454081/items/IDJD45K5"],"itemData":{"id":1341,"type":"article-journal","abstract":"Production and use of pharmaceuticals in the United States is high and continues to grow. This, combined with poor wastewater removal rates for drugs in excreted waste, and improper pharmaceutical disposal leads to the presence of pharmaceuticals in fresh- and marine waters and wildlife. In the United States, safe drug take-back boxes, or dropboxes, were established in pharmacies after federal legislation passed in 2014, allowing for year-round safe collection of leftover pharmaceuticals. The overarching objective of this work was to identify opportunities for improving access to proper pharmaceutical disposal. We assessed consumer behavior regarding drug disposal choices and knowledge of dropboxes at pharmacies, investigated pharmacist attitudes toward and recommendations about leftover drug disposal, and compared responses at locations with and without dropboxes. We also explored obstacles to dropbox adoption and usage. We found that customer awareness of dropboxes as well as knowledge about risks of improper disposal are low, however awareness was greater at pharmacies with dropboxes. Additionally, pharmacists at dropbox locations were more consistent in their messaging to customers, more likely to recommend proper disposal methods, and more supportive of drug take-back programs. Through a focus group, we learned that further consumer education would overwhelm the capacity of the existing dropboxes. Based on our findings, we recommend solutions to improper disposal focus on legislation mandating dropboxes at pharmacies and pressure on the pharmaceutical industry to fund proper disposal of unused pharmaceuticals.","container-title":"Waste Management","DOI":"10.1016/j.wasman.2020.08.038","ISSN":"0956-053X","journalAbbreviation":"Waste Management","language":"en","page":"416-425","source":"ScienceDirect","title":"Leftover drug disposal: Customer behavior, pharmacist recommendations, and obstacles to drug take-back box implementation","title-short":"Leftover drug disposal","volume":"118","author":[{"family":"Ehrhart","given":"Amy L."},{"family":"Granek","given":"Elise F."},{"family":"Nielsen-Pincus","given":"Max"},{"family":"Horn","given":"Dorothy A."}],"issued":{"date-parts":[["2020",12,1]]}}}],"schema":"https://github.com/citation-style-language/schema/raw/master/csl-citation.json"} </w:instrText>
      </w:r>
      <w:r w:rsidR="00142744">
        <w:rPr>
          <w:sz w:val="22"/>
          <w:szCs w:val="22"/>
        </w:rPr>
        <w:fldChar w:fldCharType="separate"/>
      </w:r>
      <w:r w:rsidR="00573A4E" w:rsidRPr="00573A4E">
        <w:rPr>
          <w:rFonts w:ascii="Calibri" w:hAnsi="Calibri" w:cs="Calibri"/>
          <w:sz w:val="22"/>
          <w:szCs w:val="24"/>
          <w:vertAlign w:val="superscript"/>
        </w:rPr>
        <w:t>24</w:t>
      </w:r>
      <w:r w:rsidR="00142744">
        <w:rPr>
          <w:sz w:val="22"/>
          <w:szCs w:val="22"/>
        </w:rPr>
        <w:fldChar w:fldCharType="end"/>
      </w:r>
      <w:r w:rsidR="00142744">
        <w:rPr>
          <w:sz w:val="22"/>
          <w:szCs w:val="22"/>
        </w:rPr>
        <w:t xml:space="preserve"> Wyoming might look to successful interventions piloted in rural communities, such as opioid buy-back programs, to reduce the amount of excess prescription opioids in circulation.</w:t>
      </w:r>
      <w:r w:rsidR="00142744">
        <w:rPr>
          <w:sz w:val="22"/>
          <w:szCs w:val="22"/>
        </w:rPr>
        <w:fldChar w:fldCharType="begin"/>
      </w:r>
      <w:r w:rsidR="00573A4E">
        <w:rPr>
          <w:sz w:val="22"/>
          <w:szCs w:val="22"/>
        </w:rPr>
        <w:instrText xml:space="preserve"> ADDIN ZOTERO_ITEM CSL_CITATION {"citationID":"xvna4413","properties":{"formattedCitation":"\\super 25\\nosupersub{}","plainCitation":"25","noteIndex":0},"citationItems":[{"id":1344,"uris":["http://zotero.org/users/454081/items/MD7H7XD9"],"uri":["http://zotero.org/users/454081/items/MD7H7XD9"],"itemData":{"id":1344,"type":"article-journal","abstract":"Objective. To implement an opioid buyback program after ambulatory surgery.Methods. We performed a prospective cohort study of 578 opioid-naïve patients prescribed opioids after ambulatory surgery at a rural US Veterans Affairs (VA) hospital from 2017 to 2018. We reimbursed $5 per unused opioid pill ($50 limit) returned to our VA for proper disposal. We tracked the number of participants, number of unused opioid pills returned, surgeon prescribing, and refill requests.Results. Out of 578 eligible patients, 171 (29.6%) returned 2136.5 unused opioid pills. Information shared with surgeons after 6 months led to a 27% decrease in opioid prescribing without an increase in refills.Conclusions. With this opioid buyback program, rural patients had a safe and convenient place to dispose of unused opioids. Surgeons used information about returns to adjust opioid prescribing after common ambulatory surgeries without an increase in refill requests.Public Health Implications. Although providers prescribe within state opioid guidelines, there will be variations in patient use after ambulatory surgery. An opioid buyback program helped our patients and surgeons decrease unused prescription opioids available for diversion in our rural communities.","container-title":"American Journal of Public Health","DOI":"10.2105/AJPH.2020.305730","ISSN":"1541-0048","issue":"9","journalAbbreviation":"Am J Public Health","language":"eng","note":"PMID: 32673113\nPMCID: PMC7427242","page":"1318-1324","source":"PubMed","title":"Buyback Program of Unused Prescription Opioids in US Rural Communities, 2017-2018","volume":"110","author":[{"family":"Liu","given":"Jean Y."},{"family":"Franklin","given":"Julie S."},{"family":"Gesek","given":"Frank A."},{"family":"Anderson","given":"Joseph C."}],"issued":{"date-parts":[["2020",9]]}}}],"schema":"https://github.com/citation-style-language/schema/raw/master/csl-citation.json"} </w:instrText>
      </w:r>
      <w:r w:rsidR="00142744">
        <w:rPr>
          <w:sz w:val="22"/>
          <w:szCs w:val="22"/>
        </w:rPr>
        <w:fldChar w:fldCharType="separate"/>
      </w:r>
      <w:r w:rsidR="00573A4E" w:rsidRPr="00573A4E">
        <w:rPr>
          <w:rFonts w:ascii="Calibri" w:hAnsi="Calibri" w:cs="Calibri"/>
          <w:sz w:val="22"/>
          <w:szCs w:val="24"/>
          <w:vertAlign w:val="superscript"/>
        </w:rPr>
        <w:t>25</w:t>
      </w:r>
      <w:r w:rsidR="00142744">
        <w:rPr>
          <w:sz w:val="22"/>
          <w:szCs w:val="22"/>
        </w:rPr>
        <w:fldChar w:fldCharType="end"/>
      </w:r>
    </w:p>
    <w:p w14:paraId="7A414059" w14:textId="1DC9019D" w:rsidR="00BB2FA4" w:rsidRDefault="00435913" w:rsidP="00813B97">
      <w:pPr>
        <w:rPr>
          <w:sz w:val="22"/>
          <w:szCs w:val="22"/>
        </w:rPr>
      </w:pPr>
      <w:r w:rsidRPr="000F43B3">
        <w:rPr>
          <w:sz w:val="22"/>
          <w:szCs w:val="22"/>
        </w:rPr>
        <w:t xml:space="preserve">Second, </w:t>
      </w:r>
      <w:r w:rsidR="00F93E6A">
        <w:rPr>
          <w:sz w:val="22"/>
          <w:szCs w:val="22"/>
        </w:rPr>
        <w:t>given the small number of opioid-related overdoses per county, non-fatal overdose</w:t>
      </w:r>
      <w:r w:rsidR="00251D61">
        <w:rPr>
          <w:sz w:val="22"/>
          <w:szCs w:val="22"/>
        </w:rPr>
        <w:t>, which is more prevalent,</w:t>
      </w:r>
      <w:r w:rsidR="00F93E6A">
        <w:rPr>
          <w:sz w:val="22"/>
          <w:szCs w:val="22"/>
        </w:rPr>
        <w:t xml:space="preserve"> is a useful proxy for fatal overdose risk</w:t>
      </w:r>
      <w:r w:rsidRPr="000F43B3">
        <w:rPr>
          <w:sz w:val="22"/>
          <w:szCs w:val="22"/>
        </w:rPr>
        <w:t xml:space="preserve">. </w:t>
      </w:r>
      <w:r w:rsidR="00BB2FA4">
        <w:rPr>
          <w:sz w:val="22"/>
          <w:szCs w:val="22"/>
        </w:rPr>
        <w:t xml:space="preserve">Wambeam and colleagues documented 737 cases of naloxone administration by EMS in 92,537 ambulance trips over the period of January 1, 2016 to June 30, 2017. </w:t>
      </w:r>
      <w:r w:rsidR="00971E4E">
        <w:rPr>
          <w:sz w:val="22"/>
          <w:szCs w:val="22"/>
        </w:rPr>
        <w:t xml:space="preserve">This translates to 126 naloxone EMS administrations </w:t>
      </w:r>
      <w:r w:rsidR="00BB2FA4">
        <w:rPr>
          <w:sz w:val="22"/>
          <w:szCs w:val="22"/>
        </w:rPr>
        <w:t xml:space="preserve">per 100,000 population </w:t>
      </w:r>
      <w:r w:rsidR="00971E4E">
        <w:rPr>
          <w:sz w:val="22"/>
          <w:szCs w:val="22"/>
        </w:rPr>
        <w:t>during that 18</w:t>
      </w:r>
      <w:r w:rsidR="008F35B8">
        <w:rPr>
          <w:sz w:val="22"/>
          <w:szCs w:val="22"/>
        </w:rPr>
        <w:t>-</w:t>
      </w:r>
      <w:r w:rsidR="00971E4E">
        <w:rPr>
          <w:sz w:val="22"/>
          <w:szCs w:val="22"/>
        </w:rPr>
        <w:t>month period</w:t>
      </w:r>
      <w:r w:rsidR="00BB2FA4">
        <w:rPr>
          <w:sz w:val="22"/>
          <w:szCs w:val="22"/>
        </w:rPr>
        <w:t xml:space="preserve">. </w:t>
      </w:r>
      <w:r w:rsidR="00984517">
        <w:rPr>
          <w:sz w:val="22"/>
          <w:szCs w:val="22"/>
        </w:rPr>
        <w:t>F</w:t>
      </w:r>
      <w:r w:rsidR="00BB2FA4">
        <w:rPr>
          <w:sz w:val="22"/>
          <w:szCs w:val="22"/>
        </w:rPr>
        <w:t>our counties had rates higher than the state average: Fremont (286 per 100,000 population), Sweetwater (249), Laramie (176), and Carbon (147).</w:t>
      </w:r>
      <w:r w:rsidR="00BB2FA4">
        <w:rPr>
          <w:sz w:val="22"/>
          <w:szCs w:val="22"/>
        </w:rPr>
        <w:fldChar w:fldCharType="begin"/>
      </w:r>
      <w:r w:rsidR="00DA22A2">
        <w:rPr>
          <w:sz w:val="22"/>
          <w:szCs w:val="22"/>
        </w:rPr>
        <w:instrText xml:space="preserve"> ADDIN ZOTERO_ITEM CSL_CITATION {"citationID":"tUAOU6rx","properties":{"formattedCitation":"\\super 12\\nosupersub{}","plainCitation":"12","noteIndex":0},"citationItems":[{"id":1161,"uris":["http://zotero.org/users/454081/items/B7RCNIFT"],"uri":["http://zotero.org/users/454081/items/B7RCNIFT"],"itemData":{"id":1161,"type":"report","event-place":"Laramie, WY","publisher":"Wyoming Survey &amp; Analysis Center, University of Wyoming","publisher-place":"Laramie, WY","title":"Telling the Story of Opioid Use in Wyoming","URL":"https://health.wyo.gov/wp-content/uploads/2018/03/Telling-the-Story-of-Prescription-Opioid-Use-in-Wyoming.pdf","author":[{"family":"Wambeam","given":"Rodney"},{"family":"Gilbert","given":"Lauren"},{"family":"Kilwein","given":"Tess"}],"issued":{"date-parts":[["2018"]]}}}],"schema":"https://github.com/citation-style-language/schema/raw/master/csl-citation.json"} </w:instrText>
      </w:r>
      <w:r w:rsidR="00BB2FA4">
        <w:rPr>
          <w:sz w:val="22"/>
          <w:szCs w:val="22"/>
        </w:rPr>
        <w:fldChar w:fldCharType="separate"/>
      </w:r>
      <w:r w:rsidR="00DA22A2" w:rsidRPr="00DA22A2">
        <w:rPr>
          <w:rFonts w:ascii="Calibri" w:hAnsi="Calibri" w:cs="Calibri"/>
          <w:sz w:val="22"/>
          <w:szCs w:val="24"/>
          <w:vertAlign w:val="superscript"/>
        </w:rPr>
        <w:t>12</w:t>
      </w:r>
      <w:r w:rsidR="00BB2FA4">
        <w:rPr>
          <w:sz w:val="22"/>
          <w:szCs w:val="22"/>
        </w:rPr>
        <w:fldChar w:fldCharType="end"/>
      </w:r>
      <w:r w:rsidR="00A97778">
        <w:rPr>
          <w:sz w:val="22"/>
          <w:szCs w:val="22"/>
        </w:rPr>
        <w:t xml:space="preserve"> </w:t>
      </w:r>
      <w:r w:rsidR="00984517">
        <w:rPr>
          <w:sz w:val="22"/>
          <w:szCs w:val="22"/>
        </w:rPr>
        <w:t>In our analysis, Fremont, S</w:t>
      </w:r>
      <w:r w:rsidR="00A97778">
        <w:rPr>
          <w:sz w:val="22"/>
          <w:szCs w:val="22"/>
        </w:rPr>
        <w:t>weetwater</w:t>
      </w:r>
      <w:r w:rsidR="00984517">
        <w:rPr>
          <w:sz w:val="22"/>
          <w:szCs w:val="22"/>
        </w:rPr>
        <w:t>,</w:t>
      </w:r>
      <w:r w:rsidR="00A97778">
        <w:rPr>
          <w:sz w:val="22"/>
          <w:szCs w:val="22"/>
        </w:rPr>
        <w:t xml:space="preserve"> and Carbon rank among the upper quintile for opioid-related vulnerability. </w:t>
      </w:r>
    </w:p>
    <w:p w14:paraId="531AE2E2" w14:textId="0F1420C7" w:rsidR="00444336" w:rsidRDefault="008C3CD7" w:rsidP="00813B97">
      <w:pPr>
        <w:rPr>
          <w:sz w:val="22"/>
          <w:szCs w:val="22"/>
        </w:rPr>
      </w:pPr>
      <w:r>
        <w:rPr>
          <w:sz w:val="22"/>
          <w:szCs w:val="22"/>
        </w:rPr>
        <w:t>Finally, people with OUD in Wyoming whose lives could be saved by medication for opioid use disorder (MOUD</w:t>
      </w:r>
      <w:r w:rsidR="00444336">
        <w:rPr>
          <w:sz w:val="22"/>
          <w:szCs w:val="22"/>
        </w:rPr>
        <w:t xml:space="preserve"> or MAT</w:t>
      </w:r>
      <w:r>
        <w:rPr>
          <w:sz w:val="22"/>
          <w:szCs w:val="22"/>
        </w:rPr>
        <w:t xml:space="preserve">), </w:t>
      </w:r>
      <w:r w:rsidR="00A114E5">
        <w:rPr>
          <w:sz w:val="22"/>
          <w:szCs w:val="22"/>
        </w:rPr>
        <w:t>specifically methadone maintenance and buprenorphine, are likely to find treatment difficult to access due to long travel times.</w:t>
      </w:r>
      <w:r>
        <w:rPr>
          <w:sz w:val="22"/>
          <w:szCs w:val="22"/>
        </w:rPr>
        <w:t xml:space="preserve"> </w:t>
      </w:r>
      <w:r w:rsidR="002C000B">
        <w:rPr>
          <w:sz w:val="22"/>
          <w:szCs w:val="22"/>
        </w:rPr>
        <w:t xml:space="preserve">One of the most significant gaps in </w:t>
      </w:r>
      <w:r w:rsidR="00614FDD">
        <w:rPr>
          <w:sz w:val="22"/>
          <w:szCs w:val="22"/>
        </w:rPr>
        <w:t xml:space="preserve">OUD treatment is the absence of methadone maintenance therapy in Wyoming, which also requires driving to Colorado, Utah, or Montana for the </w:t>
      </w:r>
      <w:r w:rsidR="00C427CD">
        <w:rPr>
          <w:sz w:val="22"/>
          <w:szCs w:val="22"/>
        </w:rPr>
        <w:t xml:space="preserve">methadone treatment. </w:t>
      </w:r>
      <w:r w:rsidR="00444336">
        <w:rPr>
          <w:sz w:val="22"/>
          <w:szCs w:val="22"/>
        </w:rPr>
        <w:t>Based on our drive</w:t>
      </w:r>
      <w:r w:rsidR="00E902F2">
        <w:rPr>
          <w:sz w:val="22"/>
          <w:szCs w:val="22"/>
        </w:rPr>
        <w:t>-</w:t>
      </w:r>
      <w:r w:rsidR="00444336">
        <w:rPr>
          <w:sz w:val="22"/>
          <w:szCs w:val="22"/>
        </w:rPr>
        <w:t>time analyses, t</w:t>
      </w:r>
      <w:r w:rsidR="00614FDD">
        <w:rPr>
          <w:sz w:val="22"/>
          <w:szCs w:val="22"/>
        </w:rPr>
        <w:t xml:space="preserve">he closest Opioid Treatment Programs are </w:t>
      </w:r>
      <w:r w:rsidR="00444336">
        <w:rPr>
          <w:sz w:val="22"/>
          <w:szCs w:val="22"/>
        </w:rPr>
        <w:t xml:space="preserve">more than </w:t>
      </w:r>
      <w:r w:rsidR="00614FDD">
        <w:rPr>
          <w:sz w:val="22"/>
          <w:szCs w:val="22"/>
        </w:rPr>
        <w:t>4-hour round trips</w:t>
      </w:r>
      <w:r w:rsidR="00663DC6">
        <w:rPr>
          <w:sz w:val="22"/>
          <w:szCs w:val="22"/>
        </w:rPr>
        <w:t xml:space="preserve">. </w:t>
      </w:r>
      <w:r w:rsidR="00444336">
        <w:rPr>
          <w:sz w:val="22"/>
          <w:szCs w:val="22"/>
        </w:rPr>
        <w:t>Given that methadone maintenance must be accessed daily, distance to these services is a critical factor. Several studies have demonstrated that greater distance to methadone maintenance is associated with lower uptake and adherence.</w:t>
      </w:r>
      <w:r w:rsidR="00444336">
        <w:rPr>
          <w:sz w:val="22"/>
          <w:szCs w:val="22"/>
        </w:rPr>
        <w:fldChar w:fldCharType="begin"/>
      </w:r>
      <w:r w:rsidR="00573A4E">
        <w:rPr>
          <w:sz w:val="22"/>
          <w:szCs w:val="22"/>
        </w:rPr>
        <w:instrText xml:space="preserve"> ADDIN ZOTERO_ITEM CSL_CITATION {"citationID":"CsZbJat7","properties":{"formattedCitation":"\\super 26\\uc0\\u8211{}28\\nosupersub{}","plainCitation":"26–28","noteIndex":0},"citationItems":[{"id":1303,"uris":["http://zotero.org/users/454081/items/L4BEGQ6I"],"uri":["http://zotero.org/users/454081/items/L4BEGQ6I"],"itemData":{"id":1303,"type":"article-journal","abstract":"Objective: Adherence to opioid agonist therapy with methadone is associated with improved clinical and community outcomes such as reductions in drug use, criminal behavior, high-risk sexual behavior, and mortality. However, the need for daily attendance for witnessed ingestion may comprise adherence.\nMethods: Data for this study were obtained from the Spokane Regional Health District's Treatment Services database. Generalized linear models with negative binomial log link function were used to assess the association between distance to the only state-funded opioid treatment program (OTP) in Spokane County, Washington and the number of missed methadone doses in the ﬁrst month of treatment.\nResults: In total, 892 individuals received methadone treatment at this OTP between February 2015 and December 2017. In the adjusted multivariable model, clients who lived more than 10 miles from the OTP were more likely to miss doses compared to individuals who lived within 5 miles of the clinic (IRR = 1.29, 95%CI = 1.03–1.61, p = 0.03). Clients who lived less than 5 miles and between 5 and 10 miles from the OTP were equally likely to miss treatment doses (IRR = 1.02, 95%CI = 0.84–1.23, p = 0.86).\nConclusions: This study found signiﬁcant positive associations between distance to an OTP and the number of missed doses in the ﬁrst month of treatment. Findings suggest the need to improve the spatial availability of OTPs to optimize opioid use disorder treatment outcomes.","container-title":"Journal of Substance Abuse Treatment","DOI":"10.1016/j.jsat.2018.07.006","ISSN":"07405472","journalAbbreviation":"Journal of Substance Abuse Treatment","language":"en","page":"26-30","source":"DOI.org (Crossref)","title":"Increased distance was associated with lower daily attendance to an opioid treatment program in Spokane County Washington","volume":"93","author":[{"family":"Amiri","given":"Solmaz"},{"family":"Lutz","given":"Robert"},{"family":"Socías","given":"M. Eugenia"},{"family":"McDonell","given":"Michael G."},{"family":"Roll","given":"John M."},{"family":"Amram","given":"Ofer"}],"issued":{"date-parts":[["2018",10]]}}},{"id":1306,"uris":["http://zotero.org/users/454081/items/QBLIYSAW"],"uri":["http://zotero.org/users/454081/items/QBLIYSAW"],"itemData":{"id":1306,"type":"article-journal","abstract":"This study examined the association between approximate distance traveled to treatment, and treatment completion and length of stay, for 1,735 clients attending outpatient treatment in an urban area. Clients who traveled less than 1 mile were 50% more likely to complete treatment than clients who traveled more than 1 mile, after holding constant demographic variables and type of drug problem. Similarly, clients who traveled more than 4 miles were significantly more likely to have a shorter length of stay than clients who traveled less than 1 mile. These findings have important implications for the geographic placement of new treatment facilities, as well as the provision of transportation services to maximize treatment retention.","container-title":"Journal of Substance Abuse Treatment","DOI":"10.1016/S0740-5472(03)00188-0","ISSN":"0740-5472","issue":"4","journalAbbreviation":"Journal of Substance Abuse Treatment","language":"en","page":"279-285","source":"ScienceDirect","title":"Distance traveled to outpatient drug treatment and client retention","volume":"25","author":[{"family":"Beardsley","given":"Kyle"},{"family":"Wish","given":"Eric D."},{"family":"Fitzelle","given":"Dawn Bonanno"},{"family":"O'Grady","given":"Kevin"},{"family":"Arria","given":"Amelia M."}],"issued":{"date-parts":[["2003",12,1]]}}},{"id":1319,"uris":["http://zotero.org/users/454081/items/KWKAWL4W"],"uri":["http://zotero.org/users/454081/items/KWKAWL4W"],"itemData":{"id":1319,"type":"article-journal","abstract":"This study examined commuting patterns among 23,141 methadone patients enrolling in 84 opioid treatment programs (OTPs) in the United States. Patients completed an anonymous one-page survey. A linear mixed model analysis was used to predict distance traveled to the OTP. More than half (60%) the patients traveled &lt;10 miles and 6% travelled between 50 and 200 miles to attend an OTP; 8% travelled across a state border to attend an OTP. In the multivariate model (\n              \n                \n                  n\n                  =\n                  17,792\n                \n              \n              ), factors significantly (\n              \n                \n                  P\n                  &lt;\n                  .05\n                \n              \n              ) associated with distance were, residing in the Southeast or Midwest, low urbanicity, area of the patient's ZIP code, younger age, non-Hispanic white race/ethnicity, prescription opioid abuse, and no heroin use. A significant number of OTP patients travel considerable distances to access treatment. To reduce obstacles to OTP access, policy makers and treatment providers should be alert to patients' commuting patterns and to factors associated with them.","container-title":"Journal of Environmental and Public Health","DOI":"10.1155/2011/948789","ISSN":"1687-9805, 1687-9813","journalAbbreviation":"Journal of Environmental and Public Health","language":"en","page":"1-10","source":"DOI.org (Crossref)","title":"Distance Traveled and Cross-State Commuting to Opioid Treatment Programs in the United States","volume":"2011","author":[{"family":"Rosenblum","given":"Andrew"},{"family":"Cleland","given":"Charles M."},{"family":"Fong","given":"Chunki"},{"family":"Kayman","given":"Deborah J."},{"family":"Tempalski","given":"Barbara"},{"family":"Parrino","given":"Mark"}],"issued":{"date-parts":[["2011"]]}}}],"schema":"https://github.com/citation-style-language/schema/raw/master/csl-citation.json"} </w:instrText>
      </w:r>
      <w:r w:rsidR="00444336">
        <w:rPr>
          <w:sz w:val="22"/>
          <w:szCs w:val="22"/>
        </w:rPr>
        <w:fldChar w:fldCharType="separate"/>
      </w:r>
      <w:r w:rsidR="00573A4E" w:rsidRPr="00573A4E">
        <w:rPr>
          <w:rFonts w:ascii="Calibri" w:hAnsi="Calibri" w:cs="Calibri"/>
          <w:sz w:val="22"/>
          <w:szCs w:val="24"/>
          <w:vertAlign w:val="superscript"/>
        </w:rPr>
        <w:t>26–28</w:t>
      </w:r>
      <w:r w:rsidR="00444336">
        <w:rPr>
          <w:sz w:val="22"/>
          <w:szCs w:val="22"/>
        </w:rPr>
        <w:fldChar w:fldCharType="end"/>
      </w:r>
      <w:r w:rsidR="00444336">
        <w:rPr>
          <w:sz w:val="22"/>
          <w:szCs w:val="22"/>
        </w:rPr>
        <w:t xml:space="preserve"> </w:t>
      </w:r>
      <w:r w:rsidR="00C060FE">
        <w:rPr>
          <w:sz w:val="22"/>
          <w:szCs w:val="22"/>
        </w:rPr>
        <w:t xml:space="preserve">For people in the most vulnerable interior counties in Wyoming, such as Fremont and Natrona, access to methadone would be particularly difficult. </w:t>
      </w:r>
      <w:r w:rsidR="00CA2879">
        <w:rPr>
          <w:sz w:val="22"/>
          <w:szCs w:val="22"/>
        </w:rPr>
        <w:t>Wyoming’s rural character and low population density are challenges to providing adequate access to treatment.</w:t>
      </w:r>
      <w:r w:rsidR="00A84DCD">
        <w:rPr>
          <w:sz w:val="22"/>
          <w:szCs w:val="22"/>
        </w:rPr>
        <w:t xml:space="preserve"> Although the COVID-19 pandemic has disrupted healthcare access in many ways, it has also led to creative thinking related to reaching patients long</w:t>
      </w:r>
      <w:r w:rsidR="00E902F2">
        <w:rPr>
          <w:sz w:val="22"/>
          <w:szCs w:val="22"/>
        </w:rPr>
        <w:t>-</w:t>
      </w:r>
      <w:r w:rsidR="00A84DCD">
        <w:rPr>
          <w:sz w:val="22"/>
          <w:szCs w:val="22"/>
        </w:rPr>
        <w:t xml:space="preserve">distance via telemedicine </w:t>
      </w:r>
      <w:r w:rsidR="00E902F2">
        <w:rPr>
          <w:sz w:val="22"/>
          <w:szCs w:val="22"/>
        </w:rPr>
        <w:t>following the</w:t>
      </w:r>
      <w:r w:rsidR="00A84DCD">
        <w:rPr>
          <w:sz w:val="22"/>
          <w:szCs w:val="22"/>
        </w:rPr>
        <w:t xml:space="preserve"> loosening of restrictions related to MAT that could ultimately be adopted by rural states.</w:t>
      </w:r>
      <w:r w:rsidR="00A84DCD">
        <w:rPr>
          <w:sz w:val="22"/>
          <w:szCs w:val="22"/>
        </w:rPr>
        <w:fldChar w:fldCharType="begin"/>
      </w:r>
      <w:r w:rsidR="00573A4E">
        <w:rPr>
          <w:sz w:val="22"/>
          <w:szCs w:val="22"/>
        </w:rPr>
        <w:instrText xml:space="preserve"> ADDIN ZOTERO_ITEM CSL_CITATION {"citationID":"r1yvH2zU","properties":{"formattedCitation":"\\super 29,30\\nosupersub{}","plainCitation":"29,30","noteIndex":0},"citationItems":[{"id":1338,"uris":["http://zotero.org/users/454081/items/36234ZLQ"],"uri":["http://zotero.org/users/454081/items/36234ZLQ"],"itemData":{"id":1338,"type":"article-journal","abstract":"The COVID-19 health crisis joined, rather than supplanted, the opioid crisis as the most acutely pressing threats to US public health. In the setting of COVID-19, opioid use disorder treatment paradigms are being disrupted, including the fact that methadone clinics are scrambling to give “take-home” doses where they would typically not. The rapid transition away from in-person examination, dosing and group therapy in an era of social isolation calls for adjustments to clinical practice, including emphasizing patient-provider communication, favoring new inductees on buprenorphine and leveraging technology to optimize safety of medication treatment.","container-title":"Journal of Addiction Medicine","DOI":"10.1097/ADM.0000000000000678","ISSN":"1932-0620","issue":"4","language":"en-US","page":"e1","source":"journals.lww.com","title":"Optimizing Medication Treatment of Opioid Use Disorder During COVID-19 (SARS-CoV-2)","volume":"14","author":[{"family":"Leppla","given":"Idris E."},{"family":"Gross","given":"Marielle S."}],"issued":{"date-parts":[["2020",8]]}}},{"id":1335,"uris":["http://zotero.org/users/454081/items/8PJRNJXL"],"uri":["http://zotero.org/users/454081/items/8PJRNJXL"],"itemData":{"id":1335,"type":"article-journal","container-title":"Addiction","DOI":"10.1111/add.15143","ISSN":"1360-0443","issue":"10","language":"en","note":"_eprint: https://onlinelibrary.wiley.com/doi/pdf/10.1111/add.15143","page":"1978-1979","source":"Wiley Online Library","title":"Time to Revisit Uneven Policy in the United States for Medication for Opioid Use Disorder During Covid-19","volume":"115","author":[{"family":"Pena","given":"Eduardo"},{"family":"Ahmed","given":"Saeed"}],"issued":{"date-parts":[["2020"]]}}}],"schema":"https://github.com/citation-style-language/schema/raw/master/csl-citation.json"} </w:instrText>
      </w:r>
      <w:r w:rsidR="00A84DCD">
        <w:rPr>
          <w:sz w:val="22"/>
          <w:szCs w:val="22"/>
        </w:rPr>
        <w:fldChar w:fldCharType="separate"/>
      </w:r>
      <w:r w:rsidR="00573A4E" w:rsidRPr="00573A4E">
        <w:rPr>
          <w:rFonts w:ascii="Calibri" w:hAnsi="Calibri" w:cs="Calibri"/>
          <w:sz w:val="22"/>
          <w:szCs w:val="24"/>
          <w:vertAlign w:val="superscript"/>
        </w:rPr>
        <w:t>29,30</w:t>
      </w:r>
      <w:r w:rsidR="00A84DCD">
        <w:rPr>
          <w:sz w:val="22"/>
          <w:szCs w:val="22"/>
        </w:rPr>
        <w:fldChar w:fldCharType="end"/>
      </w:r>
    </w:p>
    <w:p w14:paraId="008DB487" w14:textId="55373300" w:rsidR="003E2816" w:rsidRDefault="004350A7" w:rsidP="00813B97">
      <w:pPr>
        <w:rPr>
          <w:sz w:val="22"/>
          <w:szCs w:val="22"/>
        </w:rPr>
      </w:pPr>
      <w:r>
        <w:rPr>
          <w:sz w:val="22"/>
          <w:szCs w:val="22"/>
        </w:rPr>
        <w:t xml:space="preserve">During </w:t>
      </w:r>
      <w:r w:rsidR="00E902F2">
        <w:rPr>
          <w:sz w:val="22"/>
          <w:szCs w:val="22"/>
        </w:rPr>
        <w:t xml:space="preserve">our </w:t>
      </w:r>
      <w:r>
        <w:rPr>
          <w:sz w:val="22"/>
          <w:szCs w:val="22"/>
        </w:rPr>
        <w:t>meeting</w:t>
      </w:r>
      <w:r w:rsidR="00E902F2">
        <w:rPr>
          <w:sz w:val="22"/>
          <w:szCs w:val="22"/>
        </w:rPr>
        <w:t>s</w:t>
      </w:r>
      <w:r>
        <w:rPr>
          <w:sz w:val="22"/>
          <w:szCs w:val="22"/>
        </w:rPr>
        <w:t xml:space="preserve"> with stakeholders, we repeatedly heard that Wyoming residents regularly travel out of state for healthcare of all kinds. Depending on where one lives, it is often more convenient to drive to the neighboring states of Montana, South Dakota, Nebraska, Colorado, Utah, or Idaho for </w:t>
      </w:r>
      <w:r w:rsidR="0079335E">
        <w:rPr>
          <w:sz w:val="22"/>
          <w:szCs w:val="22"/>
        </w:rPr>
        <w:t>more specialized</w:t>
      </w:r>
      <w:r>
        <w:rPr>
          <w:sz w:val="22"/>
          <w:szCs w:val="22"/>
        </w:rPr>
        <w:t xml:space="preserve"> care. </w:t>
      </w:r>
      <w:r w:rsidR="000A39BE">
        <w:rPr>
          <w:sz w:val="22"/>
          <w:szCs w:val="22"/>
        </w:rPr>
        <w:t>Since</w:t>
      </w:r>
      <w:r w:rsidR="00971E4E">
        <w:rPr>
          <w:sz w:val="22"/>
          <w:szCs w:val="22"/>
        </w:rPr>
        <w:t xml:space="preserve"> syringe </w:t>
      </w:r>
      <w:r w:rsidR="003E2816">
        <w:rPr>
          <w:sz w:val="22"/>
          <w:szCs w:val="22"/>
        </w:rPr>
        <w:t>services programs (SSPs) are illegal in Wyoming, people who inject drugs must drive to Montana, Idaho, Utah, or Colorado to receive services that include not just syringe exchange but</w:t>
      </w:r>
      <w:r w:rsidR="000200CE">
        <w:rPr>
          <w:sz w:val="22"/>
          <w:szCs w:val="22"/>
        </w:rPr>
        <w:t xml:space="preserve"> also</w:t>
      </w:r>
      <w:r w:rsidR="003E2816">
        <w:rPr>
          <w:sz w:val="22"/>
          <w:szCs w:val="22"/>
        </w:rPr>
        <w:t xml:space="preserve"> </w:t>
      </w:r>
      <w:r w:rsidR="00E902F2">
        <w:rPr>
          <w:sz w:val="22"/>
          <w:szCs w:val="22"/>
        </w:rPr>
        <w:t xml:space="preserve">HIV and HCV </w:t>
      </w:r>
      <w:r w:rsidR="003E2816">
        <w:rPr>
          <w:sz w:val="22"/>
          <w:szCs w:val="22"/>
        </w:rPr>
        <w:t>testing and</w:t>
      </w:r>
      <w:r w:rsidR="00E902F2">
        <w:rPr>
          <w:sz w:val="22"/>
          <w:szCs w:val="22"/>
        </w:rPr>
        <w:t xml:space="preserve"> harm reduction</w:t>
      </w:r>
      <w:r w:rsidR="003E2816">
        <w:rPr>
          <w:sz w:val="22"/>
          <w:szCs w:val="22"/>
        </w:rPr>
        <w:t xml:space="preserve"> education. </w:t>
      </w:r>
      <w:r w:rsidR="00ED5BF4">
        <w:rPr>
          <w:sz w:val="22"/>
          <w:szCs w:val="22"/>
        </w:rPr>
        <w:t>T</w:t>
      </w:r>
      <w:r w:rsidR="003E2816">
        <w:rPr>
          <w:sz w:val="22"/>
          <w:szCs w:val="22"/>
        </w:rPr>
        <w:t>he research team only had access to data from Wyoming</w:t>
      </w:r>
      <w:r w:rsidR="00ED5BF4">
        <w:rPr>
          <w:sz w:val="22"/>
          <w:szCs w:val="22"/>
        </w:rPr>
        <w:t>; therefore,</w:t>
      </w:r>
      <w:r w:rsidR="003E2816">
        <w:rPr>
          <w:sz w:val="22"/>
          <w:szCs w:val="22"/>
        </w:rPr>
        <w:t xml:space="preserve"> we were not able to assess the impact of out-of-state healthcare on opioid-related vulnerability</w:t>
      </w:r>
      <w:r w:rsidR="000A39BE">
        <w:rPr>
          <w:sz w:val="22"/>
          <w:szCs w:val="22"/>
        </w:rPr>
        <w:t xml:space="preserve"> or accessibility</w:t>
      </w:r>
      <w:r w:rsidR="00473742">
        <w:rPr>
          <w:sz w:val="22"/>
          <w:szCs w:val="22"/>
        </w:rPr>
        <w:t xml:space="preserve"> of </w:t>
      </w:r>
      <w:r w:rsidR="00737A39">
        <w:rPr>
          <w:sz w:val="22"/>
          <w:szCs w:val="22"/>
        </w:rPr>
        <w:t xml:space="preserve">substance use disorder </w:t>
      </w:r>
      <w:r w:rsidR="00473742">
        <w:rPr>
          <w:sz w:val="22"/>
          <w:szCs w:val="22"/>
        </w:rPr>
        <w:t>treatment services, beyond the drive-time analyses described above</w:t>
      </w:r>
      <w:r w:rsidR="003E2816">
        <w:rPr>
          <w:sz w:val="22"/>
          <w:szCs w:val="22"/>
        </w:rPr>
        <w:t xml:space="preserve">. </w:t>
      </w:r>
    </w:p>
    <w:p w14:paraId="27038076" w14:textId="161F380D" w:rsidR="001235FD" w:rsidRDefault="00483EE1" w:rsidP="00813B97">
      <w:pPr>
        <w:rPr>
          <w:sz w:val="22"/>
          <w:szCs w:val="22"/>
        </w:rPr>
      </w:pPr>
      <w:r>
        <w:rPr>
          <w:sz w:val="22"/>
          <w:szCs w:val="22"/>
        </w:rPr>
        <w:t xml:space="preserve">Our findings should be considered in the context of several limitations. First, we were unable to obtain more </w:t>
      </w:r>
      <w:r w:rsidR="005A2B42">
        <w:rPr>
          <w:sz w:val="22"/>
          <w:szCs w:val="22"/>
        </w:rPr>
        <w:t>detailed data related to opioid prescribing</w:t>
      </w:r>
      <w:r w:rsidR="00473742">
        <w:rPr>
          <w:sz w:val="22"/>
          <w:szCs w:val="22"/>
        </w:rPr>
        <w:t xml:space="preserve"> (such as average MME per person, numbers or rates of prescribing of different types of prescription opioids)</w:t>
      </w:r>
      <w:r w:rsidR="005A2B42">
        <w:rPr>
          <w:sz w:val="22"/>
          <w:szCs w:val="22"/>
        </w:rPr>
        <w:t xml:space="preserve"> from the Wyoming Prescription Drug Monitoring Program (PDMP)</w:t>
      </w:r>
      <w:r w:rsidR="00473742">
        <w:rPr>
          <w:sz w:val="22"/>
          <w:szCs w:val="22"/>
        </w:rPr>
        <w:t xml:space="preserve">. Instead, we </w:t>
      </w:r>
      <w:r w:rsidR="005A2B42">
        <w:rPr>
          <w:sz w:val="22"/>
          <w:szCs w:val="22"/>
        </w:rPr>
        <w:t xml:space="preserve">had to rely on county-level data for all opioids reported by the CDC. Given the association between prescription opioids and opioid vulnerability reported here, county-level data related </w:t>
      </w:r>
      <w:r w:rsidR="00245DFE">
        <w:rPr>
          <w:sz w:val="22"/>
          <w:szCs w:val="22"/>
        </w:rPr>
        <w:t xml:space="preserve">to </w:t>
      </w:r>
      <w:r w:rsidR="005A2B42">
        <w:rPr>
          <w:sz w:val="22"/>
          <w:szCs w:val="22"/>
        </w:rPr>
        <w:t>high-dose opioid prescription rates</w:t>
      </w:r>
      <w:r w:rsidR="00245DFE">
        <w:rPr>
          <w:sz w:val="22"/>
          <w:szCs w:val="22"/>
        </w:rPr>
        <w:t xml:space="preserve"> (e.g., MME&gt;90)</w:t>
      </w:r>
      <w:r w:rsidR="005A2B42">
        <w:rPr>
          <w:sz w:val="22"/>
          <w:szCs w:val="22"/>
        </w:rPr>
        <w:t xml:space="preserve"> might have offered an opportunity for a more nuanced analysis of prescribing patterns. Second, Wyoming’s small number of counties</w:t>
      </w:r>
      <w:r w:rsidR="00E902F2">
        <w:rPr>
          <w:sz w:val="22"/>
          <w:szCs w:val="22"/>
        </w:rPr>
        <w:t xml:space="preserve"> (n=2</w:t>
      </w:r>
      <w:r w:rsidR="00ED5BF4">
        <w:rPr>
          <w:sz w:val="22"/>
          <w:szCs w:val="22"/>
        </w:rPr>
        <w:t>3</w:t>
      </w:r>
      <w:r w:rsidR="00E902F2">
        <w:rPr>
          <w:sz w:val="22"/>
          <w:szCs w:val="22"/>
        </w:rPr>
        <w:t>)</w:t>
      </w:r>
      <w:r w:rsidR="005A2B42">
        <w:rPr>
          <w:sz w:val="22"/>
          <w:szCs w:val="22"/>
        </w:rPr>
        <w:t xml:space="preserve"> provided a sample size</w:t>
      </w:r>
      <w:r w:rsidR="00E902F2">
        <w:rPr>
          <w:sz w:val="22"/>
          <w:szCs w:val="22"/>
        </w:rPr>
        <w:t xml:space="preserve"> that was to</w:t>
      </w:r>
      <w:r w:rsidR="00ED5BF4">
        <w:rPr>
          <w:sz w:val="22"/>
          <w:szCs w:val="22"/>
        </w:rPr>
        <w:t>o small to</w:t>
      </w:r>
      <w:r w:rsidR="00E902F2">
        <w:rPr>
          <w:sz w:val="22"/>
          <w:szCs w:val="22"/>
        </w:rPr>
        <w:t xml:space="preserve"> support statistical modeling</w:t>
      </w:r>
      <w:r w:rsidR="005A2B42">
        <w:rPr>
          <w:sz w:val="22"/>
          <w:szCs w:val="22"/>
        </w:rPr>
        <w:t xml:space="preserve"> to run regression analyses</w:t>
      </w:r>
      <w:r w:rsidR="00E902F2">
        <w:rPr>
          <w:sz w:val="22"/>
          <w:szCs w:val="22"/>
        </w:rPr>
        <w:t>, which</w:t>
      </w:r>
      <w:r w:rsidR="005A2B42">
        <w:rPr>
          <w:sz w:val="22"/>
          <w:szCs w:val="22"/>
        </w:rPr>
        <w:t xml:space="preserve"> might have revealed more information about the strength of association between opioid overdose mortality and the core indicators and covariates. Finally, t</w:t>
      </w:r>
      <w:r w:rsidR="006209C6">
        <w:rPr>
          <w:sz w:val="22"/>
          <w:szCs w:val="22"/>
        </w:rPr>
        <w:t xml:space="preserve">his assessment started in earnest just as </w:t>
      </w:r>
      <w:r w:rsidR="00E902F2">
        <w:rPr>
          <w:sz w:val="22"/>
          <w:szCs w:val="22"/>
        </w:rPr>
        <w:t xml:space="preserve">the </w:t>
      </w:r>
      <w:r w:rsidR="006209C6">
        <w:rPr>
          <w:sz w:val="22"/>
          <w:szCs w:val="22"/>
        </w:rPr>
        <w:t>response to the COVID-19 pandemic began to shut down much of the United States, both physically and economically</w:t>
      </w:r>
      <w:r w:rsidR="00737A39">
        <w:rPr>
          <w:sz w:val="22"/>
          <w:szCs w:val="22"/>
        </w:rPr>
        <w:t xml:space="preserve">, so this study does not reflect changes in the OUD and treatment landscape in Wyoming post-COVID. </w:t>
      </w:r>
      <w:r w:rsidR="00CA2879">
        <w:rPr>
          <w:sz w:val="22"/>
          <w:szCs w:val="22"/>
        </w:rPr>
        <w:t>Many states are currently experiencing rising opioid-related overdoses due to challenges associated with treatment disruptions, isolation, and other issues.</w:t>
      </w:r>
      <w:r w:rsidR="00CA2879">
        <w:rPr>
          <w:sz w:val="22"/>
          <w:szCs w:val="22"/>
        </w:rPr>
        <w:fldChar w:fldCharType="begin"/>
      </w:r>
      <w:r w:rsidR="00573A4E">
        <w:rPr>
          <w:sz w:val="22"/>
          <w:szCs w:val="22"/>
        </w:rPr>
        <w:instrText xml:space="preserve"> ADDIN ZOTERO_ITEM CSL_CITATION {"citationID":"QPV6sTJa","properties":{"formattedCitation":"\\super 31\\nosupersub{}","plainCitation":"31","noteIndex":0},"citationItems":[{"id":1365,"uris":["http://zotero.org/users/454081/items/V6CIL565"],"uri":["http://zotero.org/users/454081/items/V6CIL565"],"itemData":{"id":1365,"type":"article-journal","container-title":"Annals of Internal Medicine","DOI":"10.7326/M20-1210","ISSN":"0003-4819","issue":"1","journalAbbreviation":"Annals of Internal Medicine","note":"publisher: American College of Physicians","page":"59-60","source":"acpjournals.org (Atypon)","title":"When Epidemics Collide: Coronavirus Disease 2019 (COVID-19) and the Opioid Crisis","title-short":"When Epidemics Collide","volume":"173","author":[{"family":"Becker","given":"William C."},{"family":"Fiellin","given":"David A."}],"issued":{"date-parts":[["2020",4,2]]}}}],"schema":"https://github.com/citation-style-language/schema/raw/master/csl-citation.json"} </w:instrText>
      </w:r>
      <w:r w:rsidR="00CA2879">
        <w:rPr>
          <w:sz w:val="22"/>
          <w:szCs w:val="22"/>
        </w:rPr>
        <w:fldChar w:fldCharType="separate"/>
      </w:r>
      <w:r w:rsidR="00573A4E" w:rsidRPr="00573A4E">
        <w:rPr>
          <w:rFonts w:ascii="Calibri" w:hAnsi="Calibri" w:cs="Calibri"/>
          <w:sz w:val="22"/>
          <w:szCs w:val="24"/>
          <w:vertAlign w:val="superscript"/>
        </w:rPr>
        <w:t>31</w:t>
      </w:r>
      <w:r w:rsidR="00CA2879">
        <w:rPr>
          <w:sz w:val="22"/>
          <w:szCs w:val="22"/>
        </w:rPr>
        <w:fldChar w:fldCharType="end"/>
      </w:r>
      <w:r w:rsidR="00CA2879">
        <w:rPr>
          <w:sz w:val="22"/>
          <w:szCs w:val="22"/>
        </w:rPr>
        <w:t xml:space="preserve"> </w:t>
      </w:r>
      <w:r w:rsidR="006209C6">
        <w:rPr>
          <w:sz w:val="22"/>
          <w:szCs w:val="22"/>
        </w:rPr>
        <w:t xml:space="preserve">Therefore, these results should be considered within the context of disruptions in Wyoming society and economy that may have led to changes in trends of substance use and misuse. </w:t>
      </w:r>
    </w:p>
    <w:p w14:paraId="135EA8AE" w14:textId="1A0DBE59" w:rsidR="00F83382" w:rsidRDefault="005A2B42" w:rsidP="00621F1C">
      <w:r>
        <w:rPr>
          <w:sz w:val="22"/>
          <w:szCs w:val="22"/>
        </w:rPr>
        <w:t>The strength of this assessment lies</w:t>
      </w:r>
      <w:r w:rsidR="005104BA">
        <w:rPr>
          <w:sz w:val="22"/>
          <w:szCs w:val="22"/>
        </w:rPr>
        <w:t>,</w:t>
      </w:r>
      <w:r>
        <w:rPr>
          <w:sz w:val="22"/>
          <w:szCs w:val="22"/>
        </w:rPr>
        <w:t xml:space="preserve"> in part</w:t>
      </w:r>
      <w:r w:rsidR="005104BA">
        <w:rPr>
          <w:sz w:val="22"/>
          <w:szCs w:val="22"/>
        </w:rPr>
        <w:t>,</w:t>
      </w:r>
      <w:r>
        <w:rPr>
          <w:sz w:val="22"/>
          <w:szCs w:val="22"/>
        </w:rPr>
        <w:t xml:space="preserve"> </w:t>
      </w:r>
      <w:r w:rsidR="005104BA">
        <w:rPr>
          <w:sz w:val="22"/>
          <w:szCs w:val="22"/>
        </w:rPr>
        <w:t xml:space="preserve">in </w:t>
      </w:r>
      <w:r>
        <w:rPr>
          <w:sz w:val="22"/>
          <w:szCs w:val="22"/>
        </w:rPr>
        <w:t xml:space="preserve">the ability of </w:t>
      </w:r>
      <w:r w:rsidR="000200CE">
        <w:rPr>
          <w:sz w:val="22"/>
          <w:szCs w:val="22"/>
        </w:rPr>
        <w:t xml:space="preserve">the </w:t>
      </w:r>
      <w:r>
        <w:rPr>
          <w:sz w:val="22"/>
          <w:szCs w:val="22"/>
        </w:rPr>
        <w:t xml:space="preserve">composite vulnerability score to </w:t>
      </w:r>
      <w:r w:rsidR="00621F1C">
        <w:rPr>
          <w:sz w:val="22"/>
          <w:szCs w:val="22"/>
        </w:rPr>
        <w:t xml:space="preserve">summarize the impact of multiple risk factors for each county. </w:t>
      </w:r>
      <w:r w:rsidR="00245DFE">
        <w:rPr>
          <w:sz w:val="22"/>
          <w:szCs w:val="22"/>
        </w:rPr>
        <w:t>H</w:t>
      </w:r>
      <w:r w:rsidR="00621F1C">
        <w:rPr>
          <w:sz w:val="22"/>
          <w:szCs w:val="22"/>
        </w:rPr>
        <w:t xml:space="preserve">igh </w:t>
      </w:r>
      <w:r w:rsidR="00245DFE">
        <w:rPr>
          <w:sz w:val="22"/>
          <w:szCs w:val="22"/>
        </w:rPr>
        <w:t xml:space="preserve">opioid </w:t>
      </w:r>
      <w:r w:rsidR="00621F1C">
        <w:rPr>
          <w:sz w:val="22"/>
          <w:szCs w:val="22"/>
        </w:rPr>
        <w:t xml:space="preserve">vulnerability </w:t>
      </w:r>
      <w:r w:rsidR="00245DFE">
        <w:rPr>
          <w:sz w:val="22"/>
          <w:szCs w:val="22"/>
        </w:rPr>
        <w:t>can serve as a proxy for</w:t>
      </w:r>
      <w:r w:rsidR="00621F1C">
        <w:rPr>
          <w:sz w:val="22"/>
          <w:szCs w:val="22"/>
        </w:rPr>
        <w:t xml:space="preserve"> opioid-related mortality</w:t>
      </w:r>
      <w:r w:rsidR="00245DFE">
        <w:rPr>
          <w:sz w:val="22"/>
          <w:szCs w:val="22"/>
        </w:rPr>
        <w:t xml:space="preserve"> risk</w:t>
      </w:r>
      <w:r w:rsidR="00621F1C">
        <w:rPr>
          <w:sz w:val="22"/>
          <w:szCs w:val="22"/>
        </w:rPr>
        <w:t xml:space="preserve">, </w:t>
      </w:r>
      <w:r w:rsidR="00245DFE">
        <w:rPr>
          <w:sz w:val="22"/>
          <w:szCs w:val="22"/>
        </w:rPr>
        <w:t xml:space="preserve">and </w:t>
      </w:r>
      <w:r w:rsidR="00621F1C">
        <w:rPr>
          <w:sz w:val="22"/>
          <w:szCs w:val="22"/>
        </w:rPr>
        <w:t xml:space="preserve">this measure can serve as a tool for policy advocacy and targeted </w:t>
      </w:r>
      <w:r w:rsidR="00245DFE">
        <w:rPr>
          <w:sz w:val="22"/>
          <w:szCs w:val="22"/>
        </w:rPr>
        <w:t xml:space="preserve">placement and enhancement </w:t>
      </w:r>
      <w:r w:rsidR="00621F1C">
        <w:rPr>
          <w:sz w:val="22"/>
          <w:szCs w:val="22"/>
        </w:rPr>
        <w:t xml:space="preserve">of </w:t>
      </w:r>
      <w:r w:rsidR="00245DFE">
        <w:rPr>
          <w:sz w:val="22"/>
          <w:szCs w:val="22"/>
        </w:rPr>
        <w:t xml:space="preserve">harm reduction, prevention, and treatment </w:t>
      </w:r>
      <w:r w:rsidR="00621F1C">
        <w:rPr>
          <w:sz w:val="22"/>
          <w:szCs w:val="22"/>
        </w:rPr>
        <w:t xml:space="preserve">services. This assessment was also strengthened by the collaborative approach that guided the process from inception to conclusion. Our Wyoming partners and their stakeholders shared important </w:t>
      </w:r>
      <w:r w:rsidR="005104BA">
        <w:rPr>
          <w:sz w:val="22"/>
          <w:szCs w:val="22"/>
        </w:rPr>
        <w:t>local</w:t>
      </w:r>
      <w:r w:rsidR="00621F1C">
        <w:rPr>
          <w:sz w:val="22"/>
          <w:szCs w:val="22"/>
        </w:rPr>
        <w:t xml:space="preserve"> knowledge and regular feedback related to our findings,</w:t>
      </w:r>
      <w:r w:rsidR="005104BA">
        <w:rPr>
          <w:sz w:val="22"/>
          <w:szCs w:val="22"/>
        </w:rPr>
        <w:t xml:space="preserve"> helping to “ground truth” maps, spatial analyses, and statistical findings,</w:t>
      </w:r>
      <w:r w:rsidR="00621F1C">
        <w:rPr>
          <w:sz w:val="22"/>
          <w:szCs w:val="22"/>
        </w:rPr>
        <w:t xml:space="preserve"> which were especially critical during pandemic travel restrictions. </w:t>
      </w:r>
      <w:r w:rsidR="00F83382">
        <w:br w:type="page"/>
      </w:r>
    </w:p>
    <w:p w14:paraId="6AE838FB" w14:textId="1C4C2B16" w:rsidR="00F83382" w:rsidRPr="00813B97" w:rsidRDefault="00DA22A2" w:rsidP="00F83382">
      <w:pPr>
        <w:pStyle w:val="Heading1"/>
      </w:pPr>
      <w:bookmarkStart w:id="8" w:name="_Toc61961295"/>
      <w:r>
        <w:t>R</w:t>
      </w:r>
      <w:r w:rsidR="00F83382">
        <w:t>eferences</w:t>
      </w:r>
      <w:bookmarkEnd w:id="8"/>
    </w:p>
    <w:p w14:paraId="6241DB31" w14:textId="77777777" w:rsidR="00573A4E" w:rsidRPr="00573A4E" w:rsidRDefault="006D30A4" w:rsidP="00573A4E">
      <w:pPr>
        <w:pStyle w:val="Bibliography"/>
        <w:rPr>
          <w:rFonts w:ascii="Calibri" w:hAnsi="Calibri" w:cs="Calibri"/>
        </w:rPr>
      </w:pPr>
      <w:r>
        <w:fldChar w:fldCharType="begin"/>
      </w:r>
      <w:r>
        <w:instrText xml:space="preserve"> ADDIN ZOTERO_BIBL {"uncited":[],"omitted":[],"custom":[]} CSL_BIBLIOGRAPHY </w:instrText>
      </w:r>
      <w:r>
        <w:fldChar w:fldCharType="separate"/>
      </w:r>
      <w:r w:rsidR="00573A4E" w:rsidRPr="00573A4E">
        <w:rPr>
          <w:rFonts w:ascii="Calibri" w:hAnsi="Calibri" w:cs="Calibri"/>
        </w:rPr>
        <w:t xml:space="preserve">1. </w:t>
      </w:r>
      <w:r w:rsidR="00573A4E" w:rsidRPr="00573A4E">
        <w:rPr>
          <w:rFonts w:ascii="Calibri" w:hAnsi="Calibri" w:cs="Calibri"/>
        </w:rPr>
        <w:tab/>
        <w:t>Scholl L, Seth P, Kariisa M, Wilson N, Baldwin G. Drug and Opioid-Involved Overdose Deaths — United States, 2013–2017. 2019;67:9.</w:t>
      </w:r>
    </w:p>
    <w:p w14:paraId="1382D2B3" w14:textId="77777777" w:rsidR="00573A4E" w:rsidRPr="00573A4E" w:rsidRDefault="00573A4E" w:rsidP="00573A4E">
      <w:pPr>
        <w:pStyle w:val="Bibliography"/>
        <w:rPr>
          <w:rFonts w:ascii="Calibri" w:hAnsi="Calibri" w:cs="Calibri"/>
        </w:rPr>
      </w:pPr>
      <w:r w:rsidRPr="00573A4E">
        <w:rPr>
          <w:rFonts w:ascii="Calibri" w:hAnsi="Calibri" w:cs="Calibri"/>
        </w:rPr>
        <w:t xml:space="preserve">2. </w:t>
      </w:r>
      <w:r w:rsidRPr="00573A4E">
        <w:rPr>
          <w:rFonts w:ascii="Calibri" w:hAnsi="Calibri" w:cs="Calibri"/>
        </w:rPr>
        <w:tab/>
        <w:t>Centers for Disease Control and Prevention. Understanding the Epidemic. Opioid Overdose. Published 2020. Accessed October 9, 2020. https://www.cdc.gov/drugoverdose/epidemic/index.html#:~:text=2-,Three%20Waves%20of%20Opioid%20Overdose%20Deaths,including%20prescription%20and%20illicit%20opioids</w:t>
      </w:r>
    </w:p>
    <w:p w14:paraId="1CD9E616" w14:textId="77777777" w:rsidR="00573A4E" w:rsidRPr="00573A4E" w:rsidRDefault="00573A4E" w:rsidP="00573A4E">
      <w:pPr>
        <w:pStyle w:val="Bibliography"/>
        <w:rPr>
          <w:rFonts w:ascii="Calibri" w:hAnsi="Calibri" w:cs="Calibri"/>
        </w:rPr>
      </w:pPr>
      <w:r w:rsidRPr="00573A4E">
        <w:rPr>
          <w:rFonts w:ascii="Calibri" w:hAnsi="Calibri" w:cs="Calibri"/>
        </w:rPr>
        <w:t xml:space="preserve">3. </w:t>
      </w:r>
      <w:r w:rsidRPr="00573A4E">
        <w:rPr>
          <w:rFonts w:ascii="Calibri" w:hAnsi="Calibri" w:cs="Calibri"/>
        </w:rPr>
        <w:tab/>
        <w:t>CDC, National Center for Health Statistics. Wide-ranging online data for epidemiologic research (WONDER). Available at http://wonder.cdc.gov.</w:t>
      </w:r>
    </w:p>
    <w:p w14:paraId="6E5C9149" w14:textId="77777777" w:rsidR="00573A4E" w:rsidRPr="00573A4E" w:rsidRDefault="00573A4E" w:rsidP="00573A4E">
      <w:pPr>
        <w:pStyle w:val="Bibliography"/>
        <w:rPr>
          <w:rFonts w:ascii="Calibri" w:hAnsi="Calibri" w:cs="Calibri"/>
        </w:rPr>
      </w:pPr>
      <w:r w:rsidRPr="00573A4E">
        <w:rPr>
          <w:rFonts w:ascii="Calibri" w:hAnsi="Calibri" w:cs="Calibri"/>
        </w:rPr>
        <w:t xml:space="preserve">4. </w:t>
      </w:r>
      <w:r w:rsidRPr="00573A4E">
        <w:rPr>
          <w:rFonts w:ascii="Calibri" w:hAnsi="Calibri" w:cs="Calibri"/>
        </w:rPr>
        <w:tab/>
        <w:t xml:space="preserve">Rodda LN, West KL, LeSaint KT. Opioid Overdose–Related Emergency Department Visits and Accidental Deaths during the COVID-19 Pandemic. </w:t>
      </w:r>
      <w:r w:rsidRPr="00573A4E">
        <w:rPr>
          <w:rFonts w:ascii="Calibri" w:hAnsi="Calibri" w:cs="Calibri"/>
          <w:i/>
          <w:iCs/>
        </w:rPr>
        <w:t>J Urban Health</w:t>
      </w:r>
      <w:r w:rsidRPr="00573A4E">
        <w:rPr>
          <w:rFonts w:ascii="Calibri" w:hAnsi="Calibri" w:cs="Calibri"/>
        </w:rPr>
        <w:t>. Published online September 28, 2020. doi:10.1007/s11524-020-00486-y</w:t>
      </w:r>
    </w:p>
    <w:p w14:paraId="703E9FAB" w14:textId="77777777" w:rsidR="00573A4E" w:rsidRPr="00573A4E" w:rsidRDefault="00573A4E" w:rsidP="00573A4E">
      <w:pPr>
        <w:pStyle w:val="Bibliography"/>
        <w:rPr>
          <w:rFonts w:ascii="Calibri" w:hAnsi="Calibri" w:cs="Calibri"/>
        </w:rPr>
      </w:pPr>
      <w:r w:rsidRPr="00573A4E">
        <w:rPr>
          <w:rFonts w:ascii="Calibri" w:hAnsi="Calibri" w:cs="Calibri"/>
        </w:rPr>
        <w:t xml:space="preserve">5. </w:t>
      </w:r>
      <w:r w:rsidRPr="00573A4E">
        <w:rPr>
          <w:rFonts w:ascii="Calibri" w:hAnsi="Calibri" w:cs="Calibri"/>
        </w:rPr>
        <w:tab/>
        <w:t>Abuse NI on D. Wyoming: Opioid-Involved Deaths and Related Harms. National Institute on Drug Abuse. Published April 3, 2020. Accessed August 14, 2020. https://www.drugabuse.gov/drug-topics/opioids/opioid-summaries-by-state/wyoming-opioid-involved-deaths-related-harms</w:t>
      </w:r>
    </w:p>
    <w:p w14:paraId="2D805098" w14:textId="77777777" w:rsidR="00573A4E" w:rsidRPr="00573A4E" w:rsidRDefault="00573A4E" w:rsidP="00573A4E">
      <w:pPr>
        <w:pStyle w:val="Bibliography"/>
        <w:rPr>
          <w:rFonts w:ascii="Calibri" w:hAnsi="Calibri" w:cs="Calibri"/>
        </w:rPr>
      </w:pPr>
      <w:r w:rsidRPr="00573A4E">
        <w:rPr>
          <w:rFonts w:ascii="Calibri" w:hAnsi="Calibri" w:cs="Calibri"/>
        </w:rPr>
        <w:t xml:space="preserve">6. </w:t>
      </w:r>
      <w:r w:rsidRPr="00573A4E">
        <w:rPr>
          <w:rFonts w:ascii="Calibri" w:hAnsi="Calibri" w:cs="Calibri"/>
        </w:rPr>
        <w:tab/>
        <w:t>U.S. Census Bureau. American Community Survey, ACS 2014-2018 5-Year Estimates. Published 2018. https://www.census.gov/acs/www/data/data-tables-and-tools/data-profiles/</w:t>
      </w:r>
    </w:p>
    <w:p w14:paraId="2EA0993B" w14:textId="77777777" w:rsidR="00573A4E" w:rsidRPr="00573A4E" w:rsidRDefault="00573A4E" w:rsidP="00573A4E">
      <w:pPr>
        <w:pStyle w:val="Bibliography"/>
        <w:rPr>
          <w:rFonts w:ascii="Calibri" w:hAnsi="Calibri" w:cs="Calibri"/>
        </w:rPr>
      </w:pPr>
      <w:r w:rsidRPr="00573A4E">
        <w:rPr>
          <w:rFonts w:ascii="Calibri" w:hAnsi="Calibri" w:cs="Calibri"/>
        </w:rPr>
        <w:t xml:space="preserve">7. </w:t>
      </w:r>
      <w:r w:rsidRPr="00573A4E">
        <w:rPr>
          <w:rFonts w:ascii="Calibri" w:hAnsi="Calibri" w:cs="Calibri"/>
        </w:rPr>
        <w:tab/>
        <w:t xml:space="preserve">Centers for Disease Control and Prevention. </w:t>
      </w:r>
      <w:r w:rsidRPr="00573A4E">
        <w:rPr>
          <w:rFonts w:ascii="Calibri" w:hAnsi="Calibri" w:cs="Calibri"/>
          <w:i/>
          <w:iCs/>
        </w:rPr>
        <w:t>2018 Annual Surveillance Report of Drug-Related Risks and Outcomes--United States. Surveillance Special Report.</w:t>
      </w:r>
      <w:r w:rsidRPr="00573A4E">
        <w:rPr>
          <w:rFonts w:ascii="Calibri" w:hAnsi="Calibri" w:cs="Calibri"/>
        </w:rPr>
        <w:t xml:space="preserve"> U.S. Department of Health and Human Services; 2018. https://www.cdc.gov/drugoverdose/pdf/pubs/2018-cdc-drug-surveillance-report.pdf</w:t>
      </w:r>
    </w:p>
    <w:p w14:paraId="6223473F" w14:textId="77777777" w:rsidR="00573A4E" w:rsidRPr="00573A4E" w:rsidRDefault="00573A4E" w:rsidP="00573A4E">
      <w:pPr>
        <w:pStyle w:val="Bibliography"/>
        <w:rPr>
          <w:rFonts w:ascii="Calibri" w:hAnsi="Calibri" w:cs="Calibri"/>
        </w:rPr>
      </w:pPr>
      <w:r w:rsidRPr="00573A4E">
        <w:rPr>
          <w:rFonts w:ascii="Calibri" w:hAnsi="Calibri" w:cs="Calibri"/>
        </w:rPr>
        <w:t xml:space="preserve">8. </w:t>
      </w:r>
      <w:r w:rsidRPr="00573A4E">
        <w:rPr>
          <w:rFonts w:ascii="Calibri" w:hAnsi="Calibri" w:cs="Calibri"/>
        </w:rPr>
        <w:tab/>
        <w:t>Centers for Disease Control and Prevention. Drug Overdose Deaths. CDC Opioid Overdose Data. Accessed February 26, 2020. https://www.cdc.gov/drugoverdose/data/statedeaths.html</w:t>
      </w:r>
    </w:p>
    <w:p w14:paraId="7E711B6B" w14:textId="77777777" w:rsidR="00573A4E" w:rsidRPr="00573A4E" w:rsidRDefault="00573A4E" w:rsidP="00573A4E">
      <w:pPr>
        <w:pStyle w:val="Bibliography"/>
        <w:rPr>
          <w:rFonts w:ascii="Calibri" w:hAnsi="Calibri" w:cs="Calibri"/>
        </w:rPr>
      </w:pPr>
      <w:r w:rsidRPr="00573A4E">
        <w:rPr>
          <w:rFonts w:ascii="Calibri" w:hAnsi="Calibri" w:cs="Calibri"/>
        </w:rPr>
        <w:t xml:space="preserve">9. </w:t>
      </w:r>
      <w:r w:rsidRPr="00573A4E">
        <w:rPr>
          <w:rFonts w:ascii="Calibri" w:hAnsi="Calibri" w:cs="Calibri"/>
        </w:rPr>
        <w:tab/>
        <w:t xml:space="preserve">Hedegaard H, Bastian BA, Trinidad JP, Spencer MR, Warner M. Regional Differences in the Drugs Most Frequently Involved in Drug Overdose Deaths: United States, 2017. </w:t>
      </w:r>
      <w:r w:rsidRPr="00573A4E">
        <w:rPr>
          <w:rFonts w:ascii="Calibri" w:hAnsi="Calibri" w:cs="Calibri"/>
          <w:i/>
          <w:iCs/>
        </w:rPr>
        <w:t>Natl Vital Stat Rep Cent Dis Control Prev Natl Cent Health Stat Natl Vital Stat Syst</w:t>
      </w:r>
      <w:r w:rsidRPr="00573A4E">
        <w:rPr>
          <w:rFonts w:ascii="Calibri" w:hAnsi="Calibri" w:cs="Calibri"/>
        </w:rPr>
        <w:t>. 2019;68(12):1-16.</w:t>
      </w:r>
    </w:p>
    <w:p w14:paraId="5435C86A" w14:textId="77777777" w:rsidR="00573A4E" w:rsidRPr="00573A4E" w:rsidRDefault="00573A4E" w:rsidP="00573A4E">
      <w:pPr>
        <w:pStyle w:val="Bibliography"/>
        <w:rPr>
          <w:rFonts w:ascii="Calibri" w:hAnsi="Calibri" w:cs="Calibri"/>
        </w:rPr>
      </w:pPr>
      <w:r w:rsidRPr="00573A4E">
        <w:rPr>
          <w:rFonts w:ascii="Calibri" w:hAnsi="Calibri" w:cs="Calibri"/>
        </w:rPr>
        <w:t xml:space="preserve">10. </w:t>
      </w:r>
      <w:r w:rsidRPr="00573A4E">
        <w:rPr>
          <w:rFonts w:ascii="Calibri" w:hAnsi="Calibri" w:cs="Calibri"/>
        </w:rPr>
        <w:tab/>
        <w:t xml:space="preserve">Johnson EL. </w:t>
      </w:r>
      <w:r w:rsidRPr="00573A4E">
        <w:rPr>
          <w:rFonts w:ascii="Calibri" w:hAnsi="Calibri" w:cs="Calibri"/>
          <w:i/>
          <w:iCs/>
        </w:rPr>
        <w:t>The Impact of Substance Abuse on Crime in Wyoming: 2010-2018</w:t>
      </w:r>
      <w:r w:rsidRPr="00573A4E">
        <w:rPr>
          <w:rFonts w:ascii="Calibri" w:hAnsi="Calibri" w:cs="Calibri"/>
        </w:rPr>
        <w:t>. Wyoming Association of Sheriffs and Chiefs of Police; 2019.</w:t>
      </w:r>
    </w:p>
    <w:p w14:paraId="2E565DC1" w14:textId="77777777" w:rsidR="00573A4E" w:rsidRPr="00573A4E" w:rsidRDefault="00573A4E" w:rsidP="00573A4E">
      <w:pPr>
        <w:pStyle w:val="Bibliography"/>
        <w:rPr>
          <w:rFonts w:ascii="Calibri" w:hAnsi="Calibri" w:cs="Calibri"/>
        </w:rPr>
      </w:pPr>
      <w:r w:rsidRPr="00573A4E">
        <w:rPr>
          <w:rFonts w:ascii="Calibri" w:hAnsi="Calibri" w:cs="Calibri"/>
        </w:rPr>
        <w:t xml:space="preserve">11. </w:t>
      </w:r>
      <w:r w:rsidRPr="00573A4E">
        <w:rPr>
          <w:rFonts w:ascii="Calibri" w:hAnsi="Calibri" w:cs="Calibri"/>
        </w:rPr>
        <w:tab/>
        <w:t xml:space="preserve">Beaudoin G, Storey M. </w:t>
      </w:r>
      <w:r w:rsidRPr="00573A4E">
        <w:rPr>
          <w:rFonts w:ascii="Calibri" w:hAnsi="Calibri" w:cs="Calibri"/>
          <w:i/>
          <w:iCs/>
        </w:rPr>
        <w:t>Vital Statistics Services--2018 Annual Report</w:t>
      </w:r>
      <w:r w:rsidRPr="00573A4E">
        <w:rPr>
          <w:rFonts w:ascii="Calibri" w:hAnsi="Calibri" w:cs="Calibri"/>
        </w:rPr>
        <w:t>. Wyoming Department of Health; 2019.</w:t>
      </w:r>
    </w:p>
    <w:p w14:paraId="42578762" w14:textId="77777777" w:rsidR="00573A4E" w:rsidRPr="00573A4E" w:rsidRDefault="00573A4E" w:rsidP="00573A4E">
      <w:pPr>
        <w:pStyle w:val="Bibliography"/>
        <w:rPr>
          <w:rFonts w:ascii="Calibri" w:hAnsi="Calibri" w:cs="Calibri"/>
        </w:rPr>
      </w:pPr>
      <w:r w:rsidRPr="00573A4E">
        <w:rPr>
          <w:rFonts w:ascii="Calibri" w:hAnsi="Calibri" w:cs="Calibri"/>
        </w:rPr>
        <w:t xml:space="preserve">12. </w:t>
      </w:r>
      <w:r w:rsidRPr="00573A4E">
        <w:rPr>
          <w:rFonts w:ascii="Calibri" w:hAnsi="Calibri" w:cs="Calibri"/>
        </w:rPr>
        <w:tab/>
        <w:t xml:space="preserve">Wambeam R, Gilbert L, Kilwein T. </w:t>
      </w:r>
      <w:r w:rsidRPr="00573A4E">
        <w:rPr>
          <w:rFonts w:ascii="Calibri" w:hAnsi="Calibri" w:cs="Calibri"/>
          <w:i/>
          <w:iCs/>
        </w:rPr>
        <w:t>Telling the Story of Opioid Use in Wyoming</w:t>
      </w:r>
      <w:r w:rsidRPr="00573A4E">
        <w:rPr>
          <w:rFonts w:ascii="Calibri" w:hAnsi="Calibri" w:cs="Calibri"/>
        </w:rPr>
        <w:t>. Wyoming Survey &amp; Analysis Center, University of Wyoming; 2018. https://health.wyo.gov/wp-content/uploads/2018/03/Telling-the-Story-of-Prescription-Opioid-Use-in-Wyoming.pdf</w:t>
      </w:r>
    </w:p>
    <w:p w14:paraId="32F1A560" w14:textId="77777777" w:rsidR="00573A4E" w:rsidRPr="00573A4E" w:rsidRDefault="00573A4E" w:rsidP="00573A4E">
      <w:pPr>
        <w:pStyle w:val="Bibliography"/>
        <w:rPr>
          <w:rFonts w:ascii="Calibri" w:hAnsi="Calibri" w:cs="Calibri"/>
        </w:rPr>
      </w:pPr>
      <w:r w:rsidRPr="00573A4E">
        <w:rPr>
          <w:rFonts w:ascii="Calibri" w:hAnsi="Calibri" w:cs="Calibri"/>
        </w:rPr>
        <w:t xml:space="preserve">13. </w:t>
      </w:r>
      <w:r w:rsidRPr="00573A4E">
        <w:rPr>
          <w:rFonts w:ascii="Calibri" w:hAnsi="Calibri" w:cs="Calibri"/>
        </w:rPr>
        <w:tab/>
        <w:t xml:space="preserve">Centers for Disease Control and Prevention. </w:t>
      </w:r>
      <w:r w:rsidRPr="00573A4E">
        <w:rPr>
          <w:rFonts w:ascii="Calibri" w:hAnsi="Calibri" w:cs="Calibri"/>
          <w:i/>
          <w:iCs/>
        </w:rPr>
        <w:t>2019 Annual Surveillance Report of Drug-Related Risks and Outcomes — United States Surveillance Special Report</w:t>
      </w:r>
      <w:r w:rsidRPr="00573A4E">
        <w:rPr>
          <w:rFonts w:ascii="Calibri" w:hAnsi="Calibri" w:cs="Calibri"/>
        </w:rPr>
        <w:t>.; 2019. Accessed July 29, 2020. https://www. cdc.gov/drugoverdose/pdf/ pubs/2019-cdc-drug-surveillancereport. pdf.</w:t>
      </w:r>
    </w:p>
    <w:p w14:paraId="7B62277E" w14:textId="77777777" w:rsidR="00573A4E" w:rsidRPr="00573A4E" w:rsidRDefault="00573A4E" w:rsidP="00573A4E">
      <w:pPr>
        <w:pStyle w:val="Bibliography"/>
        <w:rPr>
          <w:rFonts w:ascii="Calibri" w:hAnsi="Calibri" w:cs="Calibri"/>
        </w:rPr>
      </w:pPr>
      <w:r w:rsidRPr="00573A4E">
        <w:rPr>
          <w:rFonts w:ascii="Calibri" w:hAnsi="Calibri" w:cs="Calibri"/>
        </w:rPr>
        <w:t xml:space="preserve">14. </w:t>
      </w:r>
      <w:r w:rsidRPr="00573A4E">
        <w:rPr>
          <w:rFonts w:ascii="Calibri" w:hAnsi="Calibri" w:cs="Calibri"/>
        </w:rPr>
        <w:tab/>
        <w:t xml:space="preserve">Van Handel MM, Rose CE, Hallisey EJ, et al. County-Level Vulnerability Assessment for Rapid Dissemination of HIV or HCV Infections Among Persons Who Inject Drugs, United States: </w:t>
      </w:r>
      <w:r w:rsidRPr="00573A4E">
        <w:rPr>
          <w:rFonts w:ascii="Calibri" w:hAnsi="Calibri" w:cs="Calibri"/>
          <w:i/>
          <w:iCs/>
        </w:rPr>
        <w:t>JAIDS J Acquir Immune Defic Syndr</w:t>
      </w:r>
      <w:r w:rsidRPr="00573A4E">
        <w:rPr>
          <w:rFonts w:ascii="Calibri" w:hAnsi="Calibri" w:cs="Calibri"/>
        </w:rPr>
        <w:t>. 2016;73(3):323-331. doi:10.1097/QAI.0000000000001098</w:t>
      </w:r>
    </w:p>
    <w:p w14:paraId="7F9201E2" w14:textId="77777777" w:rsidR="00573A4E" w:rsidRPr="00573A4E" w:rsidRDefault="00573A4E" w:rsidP="00573A4E">
      <w:pPr>
        <w:pStyle w:val="Bibliography"/>
        <w:rPr>
          <w:rFonts w:ascii="Calibri" w:hAnsi="Calibri" w:cs="Calibri"/>
        </w:rPr>
      </w:pPr>
      <w:r w:rsidRPr="00573A4E">
        <w:rPr>
          <w:rFonts w:ascii="Calibri" w:hAnsi="Calibri" w:cs="Calibri"/>
        </w:rPr>
        <w:t xml:space="preserve">15. </w:t>
      </w:r>
      <w:r w:rsidRPr="00573A4E">
        <w:rPr>
          <w:rFonts w:ascii="Calibri" w:hAnsi="Calibri" w:cs="Calibri"/>
        </w:rPr>
        <w:tab/>
        <w:t xml:space="preserve">Rickles M, Rebeiro PF, Sizemore L, et al. Tennessee’s In-state Vulnerability Assessment for a “Rapid Dissemination of Human Immunodeficiency Virus or Hepatitis C Virus Infection” Event Utilizing Data About the Opioid Epidemic. </w:t>
      </w:r>
      <w:r w:rsidRPr="00573A4E">
        <w:rPr>
          <w:rFonts w:ascii="Calibri" w:hAnsi="Calibri" w:cs="Calibri"/>
          <w:i/>
          <w:iCs/>
        </w:rPr>
        <w:t>Clin Infect Dis</w:t>
      </w:r>
      <w:r w:rsidRPr="00573A4E">
        <w:rPr>
          <w:rFonts w:ascii="Calibri" w:hAnsi="Calibri" w:cs="Calibri"/>
        </w:rPr>
        <w:t>. 2018;66(11):1722-1732. doi:10.1093/cid/cix1079</w:t>
      </w:r>
    </w:p>
    <w:p w14:paraId="1F5F37B6" w14:textId="77777777" w:rsidR="00573A4E" w:rsidRPr="00573A4E" w:rsidRDefault="00573A4E" w:rsidP="00573A4E">
      <w:pPr>
        <w:pStyle w:val="Bibliography"/>
        <w:rPr>
          <w:rFonts w:ascii="Calibri" w:hAnsi="Calibri" w:cs="Calibri"/>
        </w:rPr>
      </w:pPr>
      <w:r w:rsidRPr="00573A4E">
        <w:rPr>
          <w:rFonts w:ascii="Calibri" w:hAnsi="Calibri" w:cs="Calibri"/>
        </w:rPr>
        <w:t xml:space="preserve">16. </w:t>
      </w:r>
      <w:r w:rsidRPr="00573A4E">
        <w:rPr>
          <w:rFonts w:ascii="Calibri" w:hAnsi="Calibri" w:cs="Calibri"/>
        </w:rPr>
        <w:tab/>
        <w:t xml:space="preserve">Missouri Department of Health and Senior Services, Bureau of Reportable Disease Informatics. </w:t>
      </w:r>
      <w:r w:rsidRPr="00573A4E">
        <w:rPr>
          <w:rFonts w:ascii="Calibri" w:hAnsi="Calibri" w:cs="Calibri"/>
          <w:i/>
          <w:iCs/>
        </w:rPr>
        <w:t>Missouri Opioid Overdose and Bloodborne Infection Vulnerability Assessments</w:t>
      </w:r>
      <w:r w:rsidRPr="00573A4E">
        <w:rPr>
          <w:rFonts w:ascii="Calibri" w:hAnsi="Calibri" w:cs="Calibri"/>
        </w:rPr>
        <w:t>.; 2020. Accessed September 28, 2020. http://health.mo.gov/data/opioids/assessments.php</w:t>
      </w:r>
    </w:p>
    <w:p w14:paraId="22E8F74B" w14:textId="77777777" w:rsidR="00573A4E" w:rsidRPr="00573A4E" w:rsidRDefault="00573A4E" w:rsidP="00573A4E">
      <w:pPr>
        <w:pStyle w:val="Bibliography"/>
        <w:rPr>
          <w:rFonts w:ascii="Calibri" w:hAnsi="Calibri" w:cs="Calibri"/>
        </w:rPr>
      </w:pPr>
      <w:r w:rsidRPr="00573A4E">
        <w:rPr>
          <w:rFonts w:ascii="Calibri" w:hAnsi="Calibri" w:cs="Calibri"/>
        </w:rPr>
        <w:t xml:space="preserve">17. </w:t>
      </w:r>
      <w:r w:rsidRPr="00573A4E">
        <w:rPr>
          <w:rFonts w:ascii="Calibri" w:hAnsi="Calibri" w:cs="Calibri"/>
        </w:rPr>
        <w:tab/>
        <w:t xml:space="preserve">Wang F, Luo W. Assessing spatial and nonspatial factors for healthcare access: towards an integrated approach to defining health professional shortage areas. </w:t>
      </w:r>
      <w:r w:rsidRPr="00573A4E">
        <w:rPr>
          <w:rFonts w:ascii="Calibri" w:hAnsi="Calibri" w:cs="Calibri"/>
          <w:i/>
          <w:iCs/>
        </w:rPr>
        <w:t>Health Place</w:t>
      </w:r>
      <w:r w:rsidRPr="00573A4E">
        <w:rPr>
          <w:rFonts w:ascii="Calibri" w:hAnsi="Calibri" w:cs="Calibri"/>
        </w:rPr>
        <w:t>. 2005;11(2):131-146. doi:10.1016/j.healthplace.2004.02.003</w:t>
      </w:r>
    </w:p>
    <w:p w14:paraId="5E63B83C" w14:textId="77777777" w:rsidR="00573A4E" w:rsidRPr="00573A4E" w:rsidRDefault="00573A4E" w:rsidP="00573A4E">
      <w:pPr>
        <w:pStyle w:val="Bibliography"/>
        <w:rPr>
          <w:rFonts w:ascii="Calibri" w:hAnsi="Calibri" w:cs="Calibri"/>
        </w:rPr>
      </w:pPr>
      <w:r w:rsidRPr="00573A4E">
        <w:rPr>
          <w:rFonts w:ascii="Calibri" w:hAnsi="Calibri" w:cs="Calibri"/>
        </w:rPr>
        <w:t xml:space="preserve">18. </w:t>
      </w:r>
      <w:r w:rsidRPr="00573A4E">
        <w:rPr>
          <w:rFonts w:ascii="Calibri" w:hAnsi="Calibri" w:cs="Calibri"/>
        </w:rPr>
        <w:tab/>
        <w:t xml:space="preserve">Luo W, Wang F. Measures of Spatial Accessibility to Health Care in a GIS Environment: Synthesis and a Case Study in the Chicago Region. </w:t>
      </w:r>
      <w:r w:rsidRPr="00573A4E">
        <w:rPr>
          <w:rFonts w:ascii="Calibri" w:hAnsi="Calibri" w:cs="Calibri"/>
          <w:i/>
          <w:iCs/>
        </w:rPr>
        <w:t>Environ Plan B Plan Des</w:t>
      </w:r>
      <w:r w:rsidRPr="00573A4E">
        <w:rPr>
          <w:rFonts w:ascii="Calibri" w:hAnsi="Calibri" w:cs="Calibri"/>
        </w:rPr>
        <w:t>. 2003;30(6):865-884. doi:10.1068/b29120</w:t>
      </w:r>
    </w:p>
    <w:p w14:paraId="329FB448" w14:textId="77777777" w:rsidR="00573A4E" w:rsidRPr="00573A4E" w:rsidRDefault="00573A4E" w:rsidP="00573A4E">
      <w:pPr>
        <w:pStyle w:val="Bibliography"/>
        <w:rPr>
          <w:rFonts w:ascii="Calibri" w:hAnsi="Calibri" w:cs="Calibri"/>
        </w:rPr>
      </w:pPr>
      <w:r w:rsidRPr="00573A4E">
        <w:rPr>
          <w:rFonts w:ascii="Calibri" w:hAnsi="Calibri" w:cs="Calibri"/>
        </w:rPr>
        <w:t xml:space="preserve">19. </w:t>
      </w:r>
      <w:r w:rsidRPr="00573A4E">
        <w:rPr>
          <w:rFonts w:ascii="Calibri" w:hAnsi="Calibri" w:cs="Calibri"/>
        </w:rPr>
        <w:tab/>
        <w:t xml:space="preserve">Joudrey PJ, Chadi N, Roy P, et al. Pharmacy-based methadone dispensing and drive time to methadone treatment in five states within the United States: A cross-sectional study. </w:t>
      </w:r>
      <w:r w:rsidRPr="00573A4E">
        <w:rPr>
          <w:rFonts w:ascii="Calibri" w:hAnsi="Calibri" w:cs="Calibri"/>
          <w:i/>
          <w:iCs/>
        </w:rPr>
        <w:t>Drug Alcohol Depend</w:t>
      </w:r>
      <w:r w:rsidRPr="00573A4E">
        <w:rPr>
          <w:rFonts w:ascii="Calibri" w:hAnsi="Calibri" w:cs="Calibri"/>
        </w:rPr>
        <w:t>. 2020;211:107968. doi:10.1016/j.drugalcdep.2020.107968</w:t>
      </w:r>
    </w:p>
    <w:p w14:paraId="33D409DF" w14:textId="77777777" w:rsidR="00573A4E" w:rsidRPr="00573A4E" w:rsidRDefault="00573A4E" w:rsidP="00573A4E">
      <w:pPr>
        <w:pStyle w:val="Bibliography"/>
        <w:rPr>
          <w:rFonts w:ascii="Calibri" w:hAnsi="Calibri" w:cs="Calibri"/>
        </w:rPr>
      </w:pPr>
      <w:r w:rsidRPr="00573A4E">
        <w:rPr>
          <w:rFonts w:ascii="Calibri" w:hAnsi="Calibri" w:cs="Calibri"/>
        </w:rPr>
        <w:t xml:space="preserve">20. </w:t>
      </w:r>
      <w:r w:rsidRPr="00573A4E">
        <w:rPr>
          <w:rFonts w:ascii="Calibri" w:hAnsi="Calibri" w:cs="Calibri"/>
        </w:rPr>
        <w:tab/>
        <w:t xml:space="preserve">Haffajee RL. Prescription Drug Monitoring Programs — Friend or Folly in Addressing the Opioid-Overdose Crisis? </w:t>
      </w:r>
      <w:r w:rsidRPr="00573A4E">
        <w:rPr>
          <w:rFonts w:ascii="Calibri" w:hAnsi="Calibri" w:cs="Calibri"/>
          <w:i/>
          <w:iCs/>
        </w:rPr>
        <w:t>N Engl J Med</w:t>
      </w:r>
      <w:r w:rsidRPr="00573A4E">
        <w:rPr>
          <w:rFonts w:ascii="Calibri" w:hAnsi="Calibri" w:cs="Calibri"/>
        </w:rPr>
        <w:t>. 2019;381(8):699-701. doi:10.1056/NEJMp1904714</w:t>
      </w:r>
    </w:p>
    <w:p w14:paraId="688B7013" w14:textId="77777777" w:rsidR="00573A4E" w:rsidRPr="00573A4E" w:rsidRDefault="00573A4E" w:rsidP="00573A4E">
      <w:pPr>
        <w:pStyle w:val="Bibliography"/>
        <w:rPr>
          <w:rFonts w:ascii="Calibri" w:hAnsi="Calibri" w:cs="Calibri"/>
        </w:rPr>
      </w:pPr>
      <w:r w:rsidRPr="00573A4E">
        <w:rPr>
          <w:rFonts w:ascii="Calibri" w:hAnsi="Calibri" w:cs="Calibri"/>
        </w:rPr>
        <w:t xml:space="preserve">21. </w:t>
      </w:r>
      <w:r w:rsidRPr="00573A4E">
        <w:rPr>
          <w:rFonts w:ascii="Calibri" w:hAnsi="Calibri" w:cs="Calibri"/>
        </w:rPr>
        <w:tab/>
        <w:t xml:space="preserve">Haffajee RL, Mello MM, Zhang F, Zaslavsky AM, Larochelle MR, Wharam JF. Four States With Robust Prescription Drug Monitoring Programs Reduced Opioid Dosages. </w:t>
      </w:r>
      <w:r w:rsidRPr="00573A4E">
        <w:rPr>
          <w:rFonts w:ascii="Calibri" w:hAnsi="Calibri" w:cs="Calibri"/>
          <w:i/>
          <w:iCs/>
        </w:rPr>
        <w:t>Health Aff (Millwood)</w:t>
      </w:r>
      <w:r w:rsidRPr="00573A4E">
        <w:rPr>
          <w:rFonts w:ascii="Calibri" w:hAnsi="Calibri" w:cs="Calibri"/>
        </w:rPr>
        <w:t>. 2018;37(6):964-974. doi:10.1377/hlthaff.2017.1321</w:t>
      </w:r>
    </w:p>
    <w:p w14:paraId="48576E5B" w14:textId="77777777" w:rsidR="00573A4E" w:rsidRPr="00573A4E" w:rsidRDefault="00573A4E" w:rsidP="00573A4E">
      <w:pPr>
        <w:pStyle w:val="Bibliography"/>
        <w:rPr>
          <w:rFonts w:ascii="Calibri" w:hAnsi="Calibri" w:cs="Calibri"/>
        </w:rPr>
      </w:pPr>
      <w:r w:rsidRPr="00573A4E">
        <w:rPr>
          <w:rFonts w:ascii="Calibri" w:hAnsi="Calibri" w:cs="Calibri"/>
        </w:rPr>
        <w:t xml:space="preserve">22. </w:t>
      </w:r>
      <w:r w:rsidRPr="00573A4E">
        <w:rPr>
          <w:rFonts w:ascii="Calibri" w:hAnsi="Calibri" w:cs="Calibri"/>
        </w:rPr>
        <w:tab/>
        <w:t xml:space="preserve">Ciccarone D. The triple wave epidemic: Supply and demand drivers of the US opioid overdose crisis. </w:t>
      </w:r>
      <w:r w:rsidRPr="00573A4E">
        <w:rPr>
          <w:rFonts w:ascii="Calibri" w:hAnsi="Calibri" w:cs="Calibri"/>
          <w:i/>
          <w:iCs/>
        </w:rPr>
        <w:t>Int J Drug Policy</w:t>
      </w:r>
      <w:r w:rsidRPr="00573A4E">
        <w:rPr>
          <w:rFonts w:ascii="Calibri" w:hAnsi="Calibri" w:cs="Calibri"/>
        </w:rPr>
        <w:t>. Published online February 2, 2019. doi:10.1016/j.drugpo.2019.01.010</w:t>
      </w:r>
    </w:p>
    <w:p w14:paraId="5D3170A6" w14:textId="77777777" w:rsidR="00573A4E" w:rsidRPr="00573A4E" w:rsidRDefault="00573A4E" w:rsidP="00573A4E">
      <w:pPr>
        <w:pStyle w:val="Bibliography"/>
        <w:rPr>
          <w:rFonts w:ascii="Calibri" w:hAnsi="Calibri" w:cs="Calibri"/>
        </w:rPr>
      </w:pPr>
      <w:r w:rsidRPr="00573A4E">
        <w:rPr>
          <w:rFonts w:ascii="Calibri" w:hAnsi="Calibri" w:cs="Calibri"/>
        </w:rPr>
        <w:t xml:space="preserve">23. </w:t>
      </w:r>
      <w:r w:rsidRPr="00573A4E">
        <w:rPr>
          <w:rFonts w:ascii="Calibri" w:hAnsi="Calibri" w:cs="Calibri"/>
        </w:rPr>
        <w:tab/>
        <w:t>Wyoming D of H. Substance Abuse Prevention Data. Accessed September 2, 2020. https://sites.google.com/wyo.gov/sapdata</w:t>
      </w:r>
    </w:p>
    <w:p w14:paraId="4CBB771B" w14:textId="77777777" w:rsidR="00573A4E" w:rsidRPr="00573A4E" w:rsidRDefault="00573A4E" w:rsidP="00573A4E">
      <w:pPr>
        <w:pStyle w:val="Bibliography"/>
        <w:rPr>
          <w:rFonts w:ascii="Calibri" w:hAnsi="Calibri" w:cs="Calibri"/>
        </w:rPr>
      </w:pPr>
      <w:r w:rsidRPr="00573A4E">
        <w:rPr>
          <w:rFonts w:ascii="Calibri" w:hAnsi="Calibri" w:cs="Calibri"/>
        </w:rPr>
        <w:t xml:space="preserve">24. </w:t>
      </w:r>
      <w:r w:rsidRPr="00573A4E">
        <w:rPr>
          <w:rFonts w:ascii="Calibri" w:hAnsi="Calibri" w:cs="Calibri"/>
        </w:rPr>
        <w:tab/>
        <w:t xml:space="preserve">Ehrhart AL, Granek EF, Nielsen-Pincus M, Horn DA. Leftover drug disposal: Customer behavior, pharmacist recommendations, and obstacles to drug take-back box implementation. </w:t>
      </w:r>
      <w:r w:rsidRPr="00573A4E">
        <w:rPr>
          <w:rFonts w:ascii="Calibri" w:hAnsi="Calibri" w:cs="Calibri"/>
          <w:i/>
          <w:iCs/>
        </w:rPr>
        <w:t>Waste Manag</w:t>
      </w:r>
      <w:r w:rsidRPr="00573A4E">
        <w:rPr>
          <w:rFonts w:ascii="Calibri" w:hAnsi="Calibri" w:cs="Calibri"/>
        </w:rPr>
        <w:t>. 2020;118:416-425. doi:10.1016/j.wasman.2020.08.038</w:t>
      </w:r>
    </w:p>
    <w:p w14:paraId="4ED528BD" w14:textId="77777777" w:rsidR="00573A4E" w:rsidRPr="00573A4E" w:rsidRDefault="00573A4E" w:rsidP="00573A4E">
      <w:pPr>
        <w:pStyle w:val="Bibliography"/>
        <w:rPr>
          <w:rFonts w:ascii="Calibri" w:hAnsi="Calibri" w:cs="Calibri"/>
        </w:rPr>
      </w:pPr>
      <w:r w:rsidRPr="00573A4E">
        <w:rPr>
          <w:rFonts w:ascii="Calibri" w:hAnsi="Calibri" w:cs="Calibri"/>
        </w:rPr>
        <w:t xml:space="preserve">25. </w:t>
      </w:r>
      <w:r w:rsidRPr="00573A4E">
        <w:rPr>
          <w:rFonts w:ascii="Calibri" w:hAnsi="Calibri" w:cs="Calibri"/>
        </w:rPr>
        <w:tab/>
        <w:t xml:space="preserve">Liu JY, Franklin JS, Gesek FA, Anderson JC. Buyback Program of Unused Prescription Opioids in US Rural Communities, 2017-2018. </w:t>
      </w:r>
      <w:r w:rsidRPr="00573A4E">
        <w:rPr>
          <w:rFonts w:ascii="Calibri" w:hAnsi="Calibri" w:cs="Calibri"/>
          <w:i/>
          <w:iCs/>
        </w:rPr>
        <w:t>Am J Public Health</w:t>
      </w:r>
      <w:r w:rsidRPr="00573A4E">
        <w:rPr>
          <w:rFonts w:ascii="Calibri" w:hAnsi="Calibri" w:cs="Calibri"/>
        </w:rPr>
        <w:t>. 2020;110(9):1318-1324. doi:10.2105/AJPH.2020.305730</w:t>
      </w:r>
    </w:p>
    <w:p w14:paraId="6288C402" w14:textId="77777777" w:rsidR="00573A4E" w:rsidRPr="00573A4E" w:rsidRDefault="00573A4E" w:rsidP="00573A4E">
      <w:pPr>
        <w:pStyle w:val="Bibliography"/>
        <w:rPr>
          <w:rFonts w:ascii="Calibri" w:hAnsi="Calibri" w:cs="Calibri"/>
        </w:rPr>
      </w:pPr>
      <w:r w:rsidRPr="00573A4E">
        <w:rPr>
          <w:rFonts w:ascii="Calibri" w:hAnsi="Calibri" w:cs="Calibri"/>
        </w:rPr>
        <w:t xml:space="preserve">26. </w:t>
      </w:r>
      <w:r w:rsidRPr="00573A4E">
        <w:rPr>
          <w:rFonts w:ascii="Calibri" w:hAnsi="Calibri" w:cs="Calibri"/>
        </w:rPr>
        <w:tab/>
        <w:t xml:space="preserve">Amiri S, Lutz R, Socías ME, McDonell MG, Roll JM, Amram O. Increased distance was associated with lower daily attendance to an opioid treatment program in Spokane County Washington. </w:t>
      </w:r>
      <w:r w:rsidRPr="00573A4E">
        <w:rPr>
          <w:rFonts w:ascii="Calibri" w:hAnsi="Calibri" w:cs="Calibri"/>
          <w:i/>
          <w:iCs/>
        </w:rPr>
        <w:t>J Subst Abuse Treat</w:t>
      </w:r>
      <w:r w:rsidRPr="00573A4E">
        <w:rPr>
          <w:rFonts w:ascii="Calibri" w:hAnsi="Calibri" w:cs="Calibri"/>
        </w:rPr>
        <w:t>. 2018;93:26-30. doi:10.1016/j.jsat.2018.07.006</w:t>
      </w:r>
    </w:p>
    <w:p w14:paraId="33D46967" w14:textId="77777777" w:rsidR="00573A4E" w:rsidRPr="00573A4E" w:rsidRDefault="00573A4E" w:rsidP="00573A4E">
      <w:pPr>
        <w:pStyle w:val="Bibliography"/>
        <w:rPr>
          <w:rFonts w:ascii="Calibri" w:hAnsi="Calibri" w:cs="Calibri"/>
        </w:rPr>
      </w:pPr>
      <w:r w:rsidRPr="00573A4E">
        <w:rPr>
          <w:rFonts w:ascii="Calibri" w:hAnsi="Calibri" w:cs="Calibri"/>
        </w:rPr>
        <w:t xml:space="preserve">27. </w:t>
      </w:r>
      <w:r w:rsidRPr="00573A4E">
        <w:rPr>
          <w:rFonts w:ascii="Calibri" w:hAnsi="Calibri" w:cs="Calibri"/>
        </w:rPr>
        <w:tab/>
        <w:t xml:space="preserve">Beardsley K, Wish ED, Fitzelle DB, O’Grady K, Arria AM. Distance traveled to outpatient drug treatment and client retention. </w:t>
      </w:r>
      <w:r w:rsidRPr="00573A4E">
        <w:rPr>
          <w:rFonts w:ascii="Calibri" w:hAnsi="Calibri" w:cs="Calibri"/>
          <w:i/>
          <w:iCs/>
        </w:rPr>
        <w:t>J Subst Abuse Treat</w:t>
      </w:r>
      <w:r w:rsidRPr="00573A4E">
        <w:rPr>
          <w:rFonts w:ascii="Calibri" w:hAnsi="Calibri" w:cs="Calibri"/>
        </w:rPr>
        <w:t>. 2003;25(4):279-285. doi:10.1016/S0740-5472(03)00188-0</w:t>
      </w:r>
    </w:p>
    <w:p w14:paraId="76DC64BD" w14:textId="77777777" w:rsidR="00573A4E" w:rsidRPr="00573A4E" w:rsidRDefault="00573A4E" w:rsidP="00573A4E">
      <w:pPr>
        <w:pStyle w:val="Bibliography"/>
        <w:rPr>
          <w:rFonts w:ascii="Calibri" w:hAnsi="Calibri" w:cs="Calibri"/>
        </w:rPr>
      </w:pPr>
      <w:r w:rsidRPr="00573A4E">
        <w:rPr>
          <w:rFonts w:ascii="Calibri" w:hAnsi="Calibri" w:cs="Calibri"/>
        </w:rPr>
        <w:t xml:space="preserve">28. </w:t>
      </w:r>
      <w:r w:rsidRPr="00573A4E">
        <w:rPr>
          <w:rFonts w:ascii="Calibri" w:hAnsi="Calibri" w:cs="Calibri"/>
        </w:rPr>
        <w:tab/>
        <w:t xml:space="preserve">Rosenblum A, Cleland CM, Fong C, Kayman DJ, Tempalski B, Parrino M. Distance Traveled and Cross-State Commuting to Opioid Treatment Programs in the United States. </w:t>
      </w:r>
      <w:r w:rsidRPr="00573A4E">
        <w:rPr>
          <w:rFonts w:ascii="Calibri" w:hAnsi="Calibri" w:cs="Calibri"/>
          <w:i/>
          <w:iCs/>
        </w:rPr>
        <w:t>J Environ Public Health</w:t>
      </w:r>
      <w:r w:rsidRPr="00573A4E">
        <w:rPr>
          <w:rFonts w:ascii="Calibri" w:hAnsi="Calibri" w:cs="Calibri"/>
        </w:rPr>
        <w:t>. 2011;2011:1-10. doi:10.1155/2011/948789</w:t>
      </w:r>
    </w:p>
    <w:p w14:paraId="00119C14" w14:textId="77777777" w:rsidR="00573A4E" w:rsidRPr="00573A4E" w:rsidRDefault="00573A4E" w:rsidP="00573A4E">
      <w:pPr>
        <w:pStyle w:val="Bibliography"/>
        <w:rPr>
          <w:rFonts w:ascii="Calibri" w:hAnsi="Calibri" w:cs="Calibri"/>
        </w:rPr>
      </w:pPr>
      <w:r w:rsidRPr="00573A4E">
        <w:rPr>
          <w:rFonts w:ascii="Calibri" w:hAnsi="Calibri" w:cs="Calibri"/>
        </w:rPr>
        <w:t xml:space="preserve">29. </w:t>
      </w:r>
      <w:r w:rsidRPr="00573A4E">
        <w:rPr>
          <w:rFonts w:ascii="Calibri" w:hAnsi="Calibri" w:cs="Calibri"/>
        </w:rPr>
        <w:tab/>
        <w:t xml:space="preserve">Leppla IE, Gross MS. Optimizing Medication Treatment of Opioid Use Disorder During COVID-19 (SARS-CoV-2). </w:t>
      </w:r>
      <w:r w:rsidRPr="00573A4E">
        <w:rPr>
          <w:rFonts w:ascii="Calibri" w:hAnsi="Calibri" w:cs="Calibri"/>
          <w:i/>
          <w:iCs/>
        </w:rPr>
        <w:t>J Addict Med</w:t>
      </w:r>
      <w:r w:rsidRPr="00573A4E">
        <w:rPr>
          <w:rFonts w:ascii="Calibri" w:hAnsi="Calibri" w:cs="Calibri"/>
        </w:rPr>
        <w:t>. 2020;14(4):e1. doi:10.1097/ADM.0000000000000678</w:t>
      </w:r>
    </w:p>
    <w:p w14:paraId="3E9D50A8" w14:textId="77777777" w:rsidR="00573A4E" w:rsidRPr="00573A4E" w:rsidRDefault="00573A4E" w:rsidP="00573A4E">
      <w:pPr>
        <w:pStyle w:val="Bibliography"/>
        <w:rPr>
          <w:rFonts w:ascii="Calibri" w:hAnsi="Calibri" w:cs="Calibri"/>
        </w:rPr>
      </w:pPr>
      <w:r w:rsidRPr="00573A4E">
        <w:rPr>
          <w:rFonts w:ascii="Calibri" w:hAnsi="Calibri" w:cs="Calibri"/>
        </w:rPr>
        <w:t xml:space="preserve">30. </w:t>
      </w:r>
      <w:r w:rsidRPr="00573A4E">
        <w:rPr>
          <w:rFonts w:ascii="Calibri" w:hAnsi="Calibri" w:cs="Calibri"/>
        </w:rPr>
        <w:tab/>
        <w:t xml:space="preserve">Pena E, Ahmed S. Time to Revisit Uneven Policy in the United States for Medication for Opioid Use Disorder During Covid-19. </w:t>
      </w:r>
      <w:r w:rsidRPr="00573A4E">
        <w:rPr>
          <w:rFonts w:ascii="Calibri" w:hAnsi="Calibri" w:cs="Calibri"/>
          <w:i/>
          <w:iCs/>
        </w:rPr>
        <w:t>Addiction</w:t>
      </w:r>
      <w:r w:rsidRPr="00573A4E">
        <w:rPr>
          <w:rFonts w:ascii="Calibri" w:hAnsi="Calibri" w:cs="Calibri"/>
        </w:rPr>
        <w:t>. 2020;115(10):1978-1979. doi:10.1111/add.15143</w:t>
      </w:r>
    </w:p>
    <w:p w14:paraId="342C0903" w14:textId="77777777" w:rsidR="00573A4E" w:rsidRPr="00573A4E" w:rsidRDefault="00573A4E" w:rsidP="00573A4E">
      <w:pPr>
        <w:pStyle w:val="Bibliography"/>
        <w:rPr>
          <w:rFonts w:ascii="Calibri" w:hAnsi="Calibri" w:cs="Calibri"/>
        </w:rPr>
      </w:pPr>
      <w:r w:rsidRPr="00573A4E">
        <w:rPr>
          <w:rFonts w:ascii="Calibri" w:hAnsi="Calibri" w:cs="Calibri"/>
        </w:rPr>
        <w:t xml:space="preserve">31. </w:t>
      </w:r>
      <w:r w:rsidRPr="00573A4E">
        <w:rPr>
          <w:rFonts w:ascii="Calibri" w:hAnsi="Calibri" w:cs="Calibri"/>
        </w:rPr>
        <w:tab/>
        <w:t xml:space="preserve">Becker WC, Fiellin DA. When Epidemics Collide: Coronavirus Disease 2019 (COVID-19) and the Opioid Crisis. </w:t>
      </w:r>
      <w:r w:rsidRPr="00573A4E">
        <w:rPr>
          <w:rFonts w:ascii="Calibri" w:hAnsi="Calibri" w:cs="Calibri"/>
          <w:i/>
          <w:iCs/>
        </w:rPr>
        <w:t>Ann Intern Med</w:t>
      </w:r>
      <w:r w:rsidRPr="00573A4E">
        <w:rPr>
          <w:rFonts w:ascii="Calibri" w:hAnsi="Calibri" w:cs="Calibri"/>
        </w:rPr>
        <w:t>. 2020;173(1):59-60. doi:10.7326/M20-1210</w:t>
      </w:r>
    </w:p>
    <w:p w14:paraId="5F99CDFE" w14:textId="15DEC7A8" w:rsidR="006D30A4" w:rsidRDefault="006D30A4">
      <w:pPr>
        <w:pStyle w:val="Heading1"/>
      </w:pPr>
      <w:r>
        <w:fldChar w:fldCharType="end"/>
      </w:r>
      <w:r w:rsidR="001235FD">
        <w:br w:type="page"/>
      </w:r>
      <w:bookmarkStart w:id="9" w:name="_Toc61961296"/>
      <w:r w:rsidR="00DA22A2">
        <w:t>A</w:t>
      </w:r>
      <w:r w:rsidR="001235FD">
        <w:t>ppendix</w:t>
      </w:r>
      <w:bookmarkEnd w:id="9"/>
    </w:p>
    <w:p w14:paraId="48FFAE74" w14:textId="487C8B79" w:rsidR="00C060FE" w:rsidRDefault="00F36C96">
      <w:pPr>
        <w:keepNext/>
      </w:pPr>
      <w:r>
        <w:rPr>
          <w:noProof/>
        </w:rPr>
        <w:drawing>
          <wp:inline distT="0" distB="0" distL="0" distR="0" wp14:anchorId="410D2041" wp14:editId="6EFA4BE7">
            <wp:extent cx="5943600" cy="594360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F047CA0" w14:textId="49F8155E" w:rsidR="00F36C96" w:rsidRDefault="00C060FE" w:rsidP="000F43B3">
      <w:pPr>
        <w:pStyle w:val="Caption"/>
      </w:pPr>
      <w:r w:rsidRPr="00870B26">
        <w:t>12-month provisional number of drug overdose deaths by drug or drug class, Wyoming</w:t>
      </w:r>
      <w:r>
        <w:t>, October 4, 2020</w:t>
      </w:r>
      <w:r w:rsidRPr="00870B26">
        <w:t>. National Center for Health Statistics, National Vital Statistics Rapid Release, Provisional Drug Overdose Counts. https://www.cdc.gov/nchs/nvss/vsrr/drug-overdose-data.</w:t>
      </w:r>
    </w:p>
    <w:p w14:paraId="7DA53F8E" w14:textId="77777777" w:rsidR="00F36C96" w:rsidRDefault="00F36C96" w:rsidP="00D82D72"/>
    <w:p w14:paraId="0B50E753" w14:textId="50A3C7AB" w:rsidR="00A97778" w:rsidRDefault="00A97778" w:rsidP="00D82D72"/>
    <w:p w14:paraId="36D1C7E7" w14:textId="7D666517" w:rsidR="00DE17F8" w:rsidRDefault="00DE17F8" w:rsidP="00D82D72"/>
    <w:p w14:paraId="5C412834" w14:textId="380704C6" w:rsidR="00C060FE" w:rsidRDefault="00C060FE">
      <w:r>
        <w:br w:type="page"/>
      </w:r>
    </w:p>
    <w:p w14:paraId="004EF859" w14:textId="65FE3DA0" w:rsidR="00C060FE" w:rsidRDefault="00C060FE" w:rsidP="00D82D72">
      <w:r>
        <w:rPr>
          <w:noProof/>
        </w:rPr>
        <w:drawing>
          <wp:anchor distT="0" distB="0" distL="114300" distR="114300" simplePos="0" relativeHeight="251713536" behindDoc="1" locked="0" layoutInCell="1" allowOverlap="1" wp14:anchorId="658F1EFB" wp14:editId="75DD5CA5">
            <wp:simplePos x="0" y="0"/>
            <wp:positionH relativeFrom="margin">
              <wp:align>center</wp:align>
            </wp:positionH>
            <wp:positionV relativeFrom="paragraph">
              <wp:posOffset>0</wp:posOffset>
            </wp:positionV>
            <wp:extent cx="4543857" cy="3511296"/>
            <wp:effectExtent l="0" t="0" r="0" b="0"/>
            <wp:wrapTight wrapText="bothSides">
              <wp:wrapPolygon edited="0">
                <wp:start x="0" y="0"/>
                <wp:lineTo x="0" y="21448"/>
                <wp:lineTo x="21464" y="21448"/>
                <wp:lineTo x="21464" y="0"/>
                <wp:lineTo x="0" y="0"/>
              </wp:wrapPolygon>
            </wp:wrapTight>
            <wp:docPr id="40" name="Picture 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43857" cy="3511296"/>
                    </a:xfrm>
                    <a:prstGeom prst="rect">
                      <a:avLst/>
                    </a:prstGeom>
                  </pic:spPr>
                </pic:pic>
              </a:graphicData>
            </a:graphic>
            <wp14:sizeRelH relativeFrom="margin">
              <wp14:pctWidth>0</wp14:pctWidth>
            </wp14:sizeRelH>
            <wp14:sizeRelV relativeFrom="margin">
              <wp14:pctHeight>0</wp14:pctHeight>
            </wp14:sizeRelV>
          </wp:anchor>
        </w:drawing>
      </w:r>
    </w:p>
    <w:p w14:paraId="0F21E40C" w14:textId="77777777" w:rsidR="00DA14B2" w:rsidRDefault="00DA14B2" w:rsidP="00D82D72"/>
    <w:p w14:paraId="189731CA" w14:textId="77777777" w:rsidR="00DA14B2" w:rsidRDefault="00DA14B2" w:rsidP="00D82D72"/>
    <w:p w14:paraId="58203339" w14:textId="77777777" w:rsidR="00DA14B2" w:rsidRDefault="00DA14B2" w:rsidP="00D82D72"/>
    <w:p w14:paraId="21EAB454" w14:textId="77777777" w:rsidR="00DA14B2" w:rsidRDefault="00DA14B2" w:rsidP="00D82D72"/>
    <w:p w14:paraId="6A12E78B" w14:textId="77777777" w:rsidR="00DA14B2" w:rsidRDefault="00DA14B2" w:rsidP="00D82D72"/>
    <w:p w14:paraId="11940FFB" w14:textId="77777777" w:rsidR="00DA14B2" w:rsidRDefault="00DA14B2" w:rsidP="00D82D72"/>
    <w:p w14:paraId="40DC84DC" w14:textId="77777777" w:rsidR="00DA14B2" w:rsidRDefault="00DA14B2" w:rsidP="00D82D72"/>
    <w:p w14:paraId="002187DC" w14:textId="77777777" w:rsidR="00DA14B2" w:rsidRDefault="00DA14B2" w:rsidP="00D82D72"/>
    <w:p w14:paraId="541F0F3B" w14:textId="77777777" w:rsidR="00DA14B2" w:rsidRDefault="00DA14B2" w:rsidP="00D82D72"/>
    <w:p w14:paraId="5604DF7B" w14:textId="77777777" w:rsidR="00DA14B2" w:rsidRDefault="00DA14B2" w:rsidP="00D82D72"/>
    <w:p w14:paraId="1D8766A6" w14:textId="77777777" w:rsidR="00DA14B2" w:rsidRDefault="00DA14B2" w:rsidP="00D82D72"/>
    <w:p w14:paraId="4B9C4330" w14:textId="77777777" w:rsidR="00DA14B2" w:rsidRDefault="00DA14B2" w:rsidP="00D82D72"/>
    <w:p w14:paraId="26596ABD" w14:textId="4F609A91" w:rsidR="00DA14B2" w:rsidRDefault="00DA14B2" w:rsidP="00D82D72">
      <w:r>
        <w:rPr>
          <w:noProof/>
          <w:sz w:val="22"/>
          <w:szCs w:val="22"/>
        </w:rPr>
        <w:drawing>
          <wp:anchor distT="0" distB="0" distL="114300" distR="114300" simplePos="0" relativeHeight="251716608" behindDoc="1" locked="0" layoutInCell="1" allowOverlap="1" wp14:anchorId="48169893" wp14:editId="7A68EE0A">
            <wp:simplePos x="0" y="0"/>
            <wp:positionH relativeFrom="margin">
              <wp:align>center</wp:align>
            </wp:positionH>
            <wp:positionV relativeFrom="paragraph">
              <wp:posOffset>219075</wp:posOffset>
            </wp:positionV>
            <wp:extent cx="4547181" cy="3511296"/>
            <wp:effectExtent l="0" t="0" r="6350" b="0"/>
            <wp:wrapTight wrapText="bothSides">
              <wp:wrapPolygon edited="0">
                <wp:start x="0" y="0"/>
                <wp:lineTo x="0" y="21448"/>
                <wp:lineTo x="21540" y="21448"/>
                <wp:lineTo x="215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7181" cy="3511296"/>
                    </a:xfrm>
                    <a:prstGeom prst="rect">
                      <a:avLst/>
                    </a:prstGeom>
                    <a:noFill/>
                  </pic:spPr>
                </pic:pic>
              </a:graphicData>
            </a:graphic>
            <wp14:sizeRelH relativeFrom="margin">
              <wp14:pctWidth>0</wp14:pctWidth>
            </wp14:sizeRelH>
            <wp14:sizeRelV relativeFrom="margin">
              <wp14:pctHeight>0</wp14:pctHeight>
            </wp14:sizeRelV>
          </wp:anchor>
        </w:drawing>
      </w:r>
    </w:p>
    <w:p w14:paraId="46735594" w14:textId="77777777" w:rsidR="00DA14B2" w:rsidRDefault="00DA14B2">
      <w:r>
        <w:br w:type="page"/>
      </w:r>
    </w:p>
    <w:p w14:paraId="4CAFC18B" w14:textId="3585A542" w:rsidR="00DA14B2" w:rsidRDefault="00DA14B2">
      <w:r>
        <w:rPr>
          <w:noProof/>
        </w:rPr>
        <w:drawing>
          <wp:anchor distT="0" distB="0" distL="114300" distR="114300" simplePos="0" relativeHeight="251719680" behindDoc="1" locked="0" layoutInCell="1" allowOverlap="1" wp14:anchorId="15A39AD5" wp14:editId="39AFCDE1">
            <wp:simplePos x="0" y="0"/>
            <wp:positionH relativeFrom="margin">
              <wp:align>center</wp:align>
            </wp:positionH>
            <wp:positionV relativeFrom="paragraph">
              <wp:posOffset>0</wp:posOffset>
            </wp:positionV>
            <wp:extent cx="4544062" cy="3511296"/>
            <wp:effectExtent l="0" t="0" r="8890" b="0"/>
            <wp:wrapTight wrapText="bothSides">
              <wp:wrapPolygon edited="0">
                <wp:start x="0" y="0"/>
                <wp:lineTo x="0" y="21448"/>
                <wp:lineTo x="21552" y="21448"/>
                <wp:lineTo x="21552" y="0"/>
                <wp:lineTo x="0" y="0"/>
              </wp:wrapPolygon>
            </wp:wrapTight>
            <wp:docPr id="44" name="Picture 4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44062" cy="3511296"/>
                    </a:xfrm>
                    <a:prstGeom prst="rect">
                      <a:avLst/>
                    </a:prstGeom>
                  </pic:spPr>
                </pic:pic>
              </a:graphicData>
            </a:graphic>
            <wp14:sizeRelH relativeFrom="margin">
              <wp14:pctWidth>0</wp14:pctWidth>
            </wp14:sizeRelH>
            <wp14:sizeRelV relativeFrom="margin">
              <wp14:pctHeight>0</wp14:pctHeight>
            </wp14:sizeRelV>
          </wp:anchor>
        </w:drawing>
      </w:r>
    </w:p>
    <w:p w14:paraId="6EDBBA6F" w14:textId="32B1EA3C" w:rsidR="00DA14B2" w:rsidRDefault="00DA14B2"/>
    <w:p w14:paraId="62C81C5F" w14:textId="6F1BB52E" w:rsidR="00DA14B2" w:rsidRDefault="00DA14B2"/>
    <w:p w14:paraId="2E408BD8" w14:textId="1F4B9683" w:rsidR="00DA14B2" w:rsidRDefault="00DA14B2"/>
    <w:p w14:paraId="5B7E7640" w14:textId="710D1618" w:rsidR="00DA14B2" w:rsidRDefault="00DA14B2"/>
    <w:p w14:paraId="0842CA8B" w14:textId="3F96A6C6" w:rsidR="00DA14B2" w:rsidRDefault="00DA14B2"/>
    <w:p w14:paraId="723084CC" w14:textId="1C36E836" w:rsidR="00DA14B2" w:rsidRDefault="00DA14B2"/>
    <w:p w14:paraId="1C900CDF" w14:textId="77777777" w:rsidR="00DA14B2" w:rsidRDefault="00DA14B2"/>
    <w:p w14:paraId="0D413F79" w14:textId="77777777" w:rsidR="00DA14B2" w:rsidRDefault="00DA14B2"/>
    <w:p w14:paraId="1F755770" w14:textId="77777777" w:rsidR="00DA14B2" w:rsidRDefault="00DA14B2"/>
    <w:p w14:paraId="12065E03" w14:textId="77777777" w:rsidR="00DA14B2" w:rsidRDefault="00DA14B2"/>
    <w:p w14:paraId="5F2CA5C2" w14:textId="77777777" w:rsidR="00DA14B2" w:rsidRDefault="00DA14B2"/>
    <w:p w14:paraId="020E467E" w14:textId="77777777" w:rsidR="00DA14B2" w:rsidRDefault="00DA14B2"/>
    <w:p w14:paraId="05658D61" w14:textId="27C8A201" w:rsidR="00DA14B2" w:rsidRDefault="00DA14B2">
      <w:r>
        <w:rPr>
          <w:noProof/>
        </w:rPr>
        <w:drawing>
          <wp:anchor distT="0" distB="0" distL="114300" distR="114300" simplePos="0" relativeHeight="251720704" behindDoc="1" locked="0" layoutInCell="1" allowOverlap="1" wp14:anchorId="11476716" wp14:editId="032520CC">
            <wp:simplePos x="0" y="0"/>
            <wp:positionH relativeFrom="margin">
              <wp:align>center</wp:align>
            </wp:positionH>
            <wp:positionV relativeFrom="paragraph">
              <wp:posOffset>140335</wp:posOffset>
            </wp:positionV>
            <wp:extent cx="4543425" cy="3510915"/>
            <wp:effectExtent l="0" t="0" r="9525" b="0"/>
            <wp:wrapTight wrapText="bothSides">
              <wp:wrapPolygon edited="0">
                <wp:start x="0" y="0"/>
                <wp:lineTo x="0" y="21448"/>
                <wp:lineTo x="21555" y="21448"/>
                <wp:lineTo x="215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43856" cy="3511161"/>
                    </a:xfrm>
                    <a:prstGeom prst="rect">
                      <a:avLst/>
                    </a:prstGeom>
                  </pic:spPr>
                </pic:pic>
              </a:graphicData>
            </a:graphic>
            <wp14:sizeRelH relativeFrom="margin">
              <wp14:pctWidth>0</wp14:pctWidth>
            </wp14:sizeRelH>
            <wp14:sizeRelV relativeFrom="margin">
              <wp14:pctHeight>0</wp14:pctHeight>
            </wp14:sizeRelV>
          </wp:anchor>
        </w:drawing>
      </w:r>
    </w:p>
    <w:p w14:paraId="666B0EEE" w14:textId="767BF785" w:rsidR="00DA14B2" w:rsidRDefault="00DA14B2"/>
    <w:p w14:paraId="0D24BDBD" w14:textId="2F493D7D" w:rsidR="00DA14B2" w:rsidRDefault="00DA14B2">
      <w:r>
        <w:br w:type="page"/>
      </w:r>
    </w:p>
    <w:p w14:paraId="19A2FF67" w14:textId="114EE95A" w:rsidR="00DE17F8" w:rsidRDefault="000D7A53" w:rsidP="00D82D72">
      <w:r>
        <w:rPr>
          <w:noProof/>
          <w:sz w:val="22"/>
          <w:szCs w:val="22"/>
        </w:rPr>
        <w:drawing>
          <wp:anchor distT="0" distB="0" distL="114300" distR="114300" simplePos="0" relativeHeight="251721728" behindDoc="1" locked="0" layoutInCell="1" allowOverlap="1" wp14:anchorId="0D6CD969" wp14:editId="4193D613">
            <wp:simplePos x="0" y="0"/>
            <wp:positionH relativeFrom="margin">
              <wp:align>center</wp:align>
            </wp:positionH>
            <wp:positionV relativeFrom="paragraph">
              <wp:posOffset>0</wp:posOffset>
            </wp:positionV>
            <wp:extent cx="4543506" cy="3511296"/>
            <wp:effectExtent l="0" t="0" r="0" b="0"/>
            <wp:wrapTight wrapText="bothSides">
              <wp:wrapPolygon edited="0">
                <wp:start x="0" y="0"/>
                <wp:lineTo x="0" y="21448"/>
                <wp:lineTo x="21464" y="21448"/>
                <wp:lineTo x="21464" y="0"/>
                <wp:lineTo x="0" y="0"/>
              </wp:wrapPolygon>
            </wp:wrapTight>
            <wp:docPr id="46" name="Picture 4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p&#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43506" cy="3511296"/>
                    </a:xfrm>
                    <a:prstGeom prst="rect">
                      <a:avLst/>
                    </a:prstGeom>
                  </pic:spPr>
                </pic:pic>
              </a:graphicData>
            </a:graphic>
            <wp14:sizeRelH relativeFrom="margin">
              <wp14:pctWidth>0</wp14:pctWidth>
            </wp14:sizeRelH>
            <wp14:sizeRelV relativeFrom="margin">
              <wp14:pctHeight>0</wp14:pctHeight>
            </wp14:sizeRelV>
          </wp:anchor>
        </w:drawing>
      </w:r>
    </w:p>
    <w:p w14:paraId="740A7A62" w14:textId="172B577B" w:rsidR="00F36D41" w:rsidRDefault="00F36D41" w:rsidP="00D82D72"/>
    <w:p w14:paraId="61A3C5F7" w14:textId="487A5A4B" w:rsidR="009A7B25" w:rsidRDefault="009A7B25" w:rsidP="00D82D72"/>
    <w:p w14:paraId="754A6CB3" w14:textId="6D9C352D" w:rsidR="009A7B25" w:rsidRDefault="009A7B25" w:rsidP="00D82D72"/>
    <w:p w14:paraId="7FDED29B" w14:textId="677A78DB" w:rsidR="009A7B25" w:rsidRDefault="009A7B25" w:rsidP="00D82D72"/>
    <w:p w14:paraId="6E2738A5" w14:textId="77777777" w:rsidR="009A7B25" w:rsidRDefault="009A7B25" w:rsidP="00D82D72"/>
    <w:p w14:paraId="49A89139" w14:textId="16EDA2F7" w:rsidR="009A7B25" w:rsidRDefault="009A7B25" w:rsidP="00D82D72"/>
    <w:p w14:paraId="359194E1" w14:textId="67C0D392" w:rsidR="009A7B25" w:rsidRDefault="009A7B25" w:rsidP="00D82D72"/>
    <w:p w14:paraId="6B81670C" w14:textId="7FCFCC78" w:rsidR="009A7B25" w:rsidRDefault="009A7B25" w:rsidP="00D82D72"/>
    <w:p w14:paraId="68870E10" w14:textId="1901BA04" w:rsidR="009A7B25" w:rsidRDefault="009A7B25" w:rsidP="00D82D72"/>
    <w:p w14:paraId="6F9734BD" w14:textId="71F17013" w:rsidR="009A7B25" w:rsidRDefault="009A7B25" w:rsidP="00D82D72"/>
    <w:p w14:paraId="241A093F" w14:textId="322782D4" w:rsidR="009A7B25" w:rsidRDefault="009A7B25" w:rsidP="00D82D72"/>
    <w:p w14:paraId="0756DB23" w14:textId="2A218144" w:rsidR="009A7B25" w:rsidRDefault="009A7B25" w:rsidP="00D82D72"/>
    <w:p w14:paraId="6268E657" w14:textId="159A653F" w:rsidR="009A7B25" w:rsidRDefault="000D7A53" w:rsidP="00D82D72">
      <w:r>
        <w:rPr>
          <w:noProof/>
        </w:rPr>
        <w:drawing>
          <wp:anchor distT="0" distB="0" distL="114300" distR="114300" simplePos="0" relativeHeight="251729920" behindDoc="1" locked="0" layoutInCell="1" allowOverlap="1" wp14:anchorId="542CAD18" wp14:editId="55EC145B">
            <wp:simplePos x="0" y="0"/>
            <wp:positionH relativeFrom="margin">
              <wp:align>center</wp:align>
            </wp:positionH>
            <wp:positionV relativeFrom="paragraph">
              <wp:posOffset>219075</wp:posOffset>
            </wp:positionV>
            <wp:extent cx="4543930" cy="3511296"/>
            <wp:effectExtent l="0" t="0" r="9525" b="0"/>
            <wp:wrapTight wrapText="bothSides">
              <wp:wrapPolygon edited="0">
                <wp:start x="0" y="0"/>
                <wp:lineTo x="0" y="21448"/>
                <wp:lineTo x="21555" y="21448"/>
                <wp:lineTo x="21555" y="0"/>
                <wp:lineTo x="0" y="0"/>
              </wp:wrapPolygon>
            </wp:wrapTight>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43930" cy="3511296"/>
                    </a:xfrm>
                    <a:prstGeom prst="rect">
                      <a:avLst/>
                    </a:prstGeom>
                  </pic:spPr>
                </pic:pic>
              </a:graphicData>
            </a:graphic>
            <wp14:sizeRelH relativeFrom="margin">
              <wp14:pctWidth>0</wp14:pctWidth>
            </wp14:sizeRelH>
            <wp14:sizeRelV relativeFrom="margin">
              <wp14:pctHeight>0</wp14:pctHeight>
            </wp14:sizeRelV>
          </wp:anchor>
        </w:drawing>
      </w:r>
    </w:p>
    <w:p w14:paraId="207259C3" w14:textId="2C26A683" w:rsidR="009A7B25" w:rsidRDefault="009A7B25" w:rsidP="00D82D72"/>
    <w:p w14:paraId="01F7AE26" w14:textId="3391D2E3" w:rsidR="009A7B25" w:rsidRDefault="009A7B25" w:rsidP="00D82D72"/>
    <w:p w14:paraId="6569E28D" w14:textId="4FE815D5" w:rsidR="000D7A53" w:rsidRDefault="000D7A53">
      <w:r>
        <w:br w:type="page"/>
      </w:r>
    </w:p>
    <w:p w14:paraId="2CE18443" w14:textId="344A2434" w:rsidR="009A7B25" w:rsidRDefault="000D7A53" w:rsidP="00D82D72">
      <w:r>
        <w:rPr>
          <w:b/>
          <w:bCs/>
          <w:noProof/>
          <w:sz w:val="22"/>
          <w:szCs w:val="22"/>
        </w:rPr>
        <w:drawing>
          <wp:anchor distT="0" distB="0" distL="114300" distR="114300" simplePos="0" relativeHeight="251723776" behindDoc="1" locked="0" layoutInCell="1" allowOverlap="1" wp14:anchorId="6B3E25D2" wp14:editId="7BAC4C1B">
            <wp:simplePos x="0" y="0"/>
            <wp:positionH relativeFrom="margin">
              <wp:align>center</wp:align>
            </wp:positionH>
            <wp:positionV relativeFrom="paragraph">
              <wp:posOffset>19050</wp:posOffset>
            </wp:positionV>
            <wp:extent cx="4546858" cy="3511296"/>
            <wp:effectExtent l="19050" t="19050" r="25400" b="13335"/>
            <wp:wrapTight wrapText="bothSides">
              <wp:wrapPolygon edited="0">
                <wp:start x="-91" y="-117"/>
                <wp:lineTo x="-91" y="21565"/>
                <wp:lineTo x="21630" y="21565"/>
                <wp:lineTo x="21630" y="-117"/>
                <wp:lineTo x="-91" y="-117"/>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6858" cy="351129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FBF0947" w14:textId="7B8B9117" w:rsidR="009A7B25" w:rsidRDefault="009A7B25" w:rsidP="00D82D72"/>
    <w:p w14:paraId="38B6A490" w14:textId="607B5288" w:rsidR="00E4028A" w:rsidRDefault="00E4028A" w:rsidP="00D82D72"/>
    <w:p w14:paraId="761A179A" w14:textId="79437793" w:rsidR="000D7A53" w:rsidRDefault="000D7A53" w:rsidP="00D82D72"/>
    <w:p w14:paraId="2C4F2C5A" w14:textId="74654C8A" w:rsidR="000D7A53" w:rsidRDefault="000D7A53" w:rsidP="00D82D72"/>
    <w:p w14:paraId="6D362DC9" w14:textId="52876856" w:rsidR="000D7A53" w:rsidRDefault="000D7A53" w:rsidP="00D82D72"/>
    <w:p w14:paraId="2FBA8FDF" w14:textId="232E35AE" w:rsidR="000D7A53" w:rsidRDefault="000D7A53" w:rsidP="00D82D72"/>
    <w:p w14:paraId="3ECE1B9E" w14:textId="04065A36" w:rsidR="000D7A53" w:rsidRDefault="000D7A53" w:rsidP="00D82D72"/>
    <w:p w14:paraId="02BF8CFB" w14:textId="099037FA" w:rsidR="000D7A53" w:rsidRDefault="000D7A53" w:rsidP="00D82D72"/>
    <w:p w14:paraId="7CC02D8A" w14:textId="739FEF0C" w:rsidR="000D7A53" w:rsidRDefault="000D7A53" w:rsidP="00D82D72"/>
    <w:p w14:paraId="59A28DE1" w14:textId="4C29C794" w:rsidR="000D7A53" w:rsidRDefault="000D7A53" w:rsidP="00D82D72"/>
    <w:p w14:paraId="79DA669B" w14:textId="4A9F5373" w:rsidR="000D7A53" w:rsidRDefault="000D7A53" w:rsidP="00D82D72"/>
    <w:p w14:paraId="5D514874" w14:textId="4BB8B094" w:rsidR="000D7A53" w:rsidRDefault="000D7A53" w:rsidP="00D82D72"/>
    <w:p w14:paraId="2433AFB6" w14:textId="4703088F" w:rsidR="000D7A53" w:rsidRDefault="000D7A53" w:rsidP="00D82D72">
      <w:r w:rsidRPr="00F83382">
        <w:rPr>
          <w:b/>
          <w:bCs/>
          <w:noProof/>
          <w:sz w:val="22"/>
          <w:szCs w:val="22"/>
        </w:rPr>
        <w:drawing>
          <wp:anchor distT="0" distB="0" distL="114300" distR="114300" simplePos="0" relativeHeight="251725824" behindDoc="1" locked="0" layoutInCell="1" allowOverlap="1" wp14:anchorId="0373BFDD" wp14:editId="07BF9C14">
            <wp:simplePos x="0" y="0"/>
            <wp:positionH relativeFrom="margin">
              <wp:align>center</wp:align>
            </wp:positionH>
            <wp:positionV relativeFrom="paragraph">
              <wp:posOffset>43815</wp:posOffset>
            </wp:positionV>
            <wp:extent cx="4543996" cy="3511296"/>
            <wp:effectExtent l="19050" t="19050" r="28575" b="13335"/>
            <wp:wrapTight wrapText="bothSides">
              <wp:wrapPolygon edited="0">
                <wp:start x="-91" y="-117"/>
                <wp:lineTo x="-91" y="21565"/>
                <wp:lineTo x="21645" y="21565"/>
                <wp:lineTo x="21645" y="-117"/>
                <wp:lineTo x="-91" y="-117"/>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43996" cy="3511296"/>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2995904" w14:textId="1498077F" w:rsidR="000D7A53" w:rsidRDefault="000D7A53" w:rsidP="00D82D72"/>
    <w:p w14:paraId="21DEA853" w14:textId="768A24B8" w:rsidR="000D7A53" w:rsidRDefault="000D7A53" w:rsidP="00D82D72"/>
    <w:p w14:paraId="075AE8B3" w14:textId="05F0DAB9" w:rsidR="000D7A53" w:rsidRDefault="000D7A53" w:rsidP="00D82D72"/>
    <w:p w14:paraId="5945011E" w14:textId="5A6C3CD3" w:rsidR="000D7A53" w:rsidRDefault="000D7A53" w:rsidP="00D82D72"/>
    <w:p w14:paraId="0566538E" w14:textId="016A04BD" w:rsidR="000D7A53" w:rsidRDefault="000D7A53" w:rsidP="00D82D72"/>
    <w:p w14:paraId="5B446DD9" w14:textId="6B36F798" w:rsidR="000D7A53" w:rsidRDefault="000D7A53" w:rsidP="00D82D72"/>
    <w:p w14:paraId="36C57EC0" w14:textId="519C6164" w:rsidR="000D7A53" w:rsidRDefault="000D7A53" w:rsidP="00D82D72"/>
    <w:p w14:paraId="77512AC4" w14:textId="7FE2A18D" w:rsidR="000D7A53" w:rsidRDefault="000D7A53" w:rsidP="00D82D72"/>
    <w:p w14:paraId="345CA445" w14:textId="6116C341" w:rsidR="000D7A53" w:rsidRDefault="000D7A53" w:rsidP="00D82D72"/>
    <w:p w14:paraId="414D8CCC" w14:textId="571F556F" w:rsidR="000D7A53" w:rsidRDefault="000D7A53" w:rsidP="00D82D72"/>
    <w:p w14:paraId="681D6FAB" w14:textId="4C51E5FC" w:rsidR="000D7A53" w:rsidRDefault="000D7A53" w:rsidP="00D82D72"/>
    <w:p w14:paraId="7CF0DFD7" w14:textId="3FC83F81" w:rsidR="000D7A53" w:rsidRDefault="000D7A53" w:rsidP="00D82D72"/>
    <w:p w14:paraId="00391035" w14:textId="282F7AA7" w:rsidR="000D7A53" w:rsidRDefault="000D7A53" w:rsidP="00D82D72"/>
    <w:p w14:paraId="40811164" w14:textId="57F7E36A" w:rsidR="000D7A53" w:rsidRDefault="000D7A53" w:rsidP="00D82D72">
      <w:r>
        <w:rPr>
          <w:b/>
          <w:bCs/>
          <w:noProof/>
          <w:sz w:val="22"/>
          <w:szCs w:val="22"/>
        </w:rPr>
        <w:drawing>
          <wp:anchor distT="0" distB="0" distL="114300" distR="114300" simplePos="0" relativeHeight="251727872" behindDoc="1" locked="0" layoutInCell="1" allowOverlap="1" wp14:anchorId="33224271" wp14:editId="4D8735F4">
            <wp:simplePos x="0" y="0"/>
            <wp:positionH relativeFrom="margin">
              <wp:align>center</wp:align>
            </wp:positionH>
            <wp:positionV relativeFrom="paragraph">
              <wp:posOffset>0</wp:posOffset>
            </wp:positionV>
            <wp:extent cx="4543857" cy="3511296"/>
            <wp:effectExtent l="0" t="0" r="0" b="0"/>
            <wp:wrapTight wrapText="bothSides">
              <wp:wrapPolygon edited="0">
                <wp:start x="0" y="0"/>
                <wp:lineTo x="0" y="21448"/>
                <wp:lineTo x="21464" y="21448"/>
                <wp:lineTo x="21464" y="0"/>
                <wp:lineTo x="0" y="0"/>
              </wp:wrapPolygon>
            </wp:wrapTight>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43857" cy="3511296"/>
                    </a:xfrm>
                    <a:prstGeom prst="rect">
                      <a:avLst/>
                    </a:prstGeom>
                  </pic:spPr>
                </pic:pic>
              </a:graphicData>
            </a:graphic>
            <wp14:sizeRelH relativeFrom="margin">
              <wp14:pctWidth>0</wp14:pctWidth>
            </wp14:sizeRelH>
            <wp14:sizeRelV relativeFrom="margin">
              <wp14:pctHeight>0</wp14:pctHeight>
            </wp14:sizeRelV>
          </wp:anchor>
        </w:drawing>
      </w:r>
    </w:p>
    <w:p w14:paraId="4E1FE66C" w14:textId="6D0A6A13" w:rsidR="000D7A53" w:rsidRDefault="000D7A53" w:rsidP="00D82D72"/>
    <w:p w14:paraId="439A50C1" w14:textId="17D42854" w:rsidR="000D7A53" w:rsidRDefault="000D7A53" w:rsidP="00D82D72"/>
    <w:p w14:paraId="73B525A7" w14:textId="09A1097B" w:rsidR="000D7A53" w:rsidRDefault="000D7A53" w:rsidP="00D82D72"/>
    <w:p w14:paraId="490F4A24" w14:textId="0447FAF8" w:rsidR="000D7A53" w:rsidRDefault="000D7A53" w:rsidP="00D82D72"/>
    <w:p w14:paraId="1B23D06E" w14:textId="16B38802" w:rsidR="000D7A53" w:rsidRDefault="000D7A53" w:rsidP="00D82D72"/>
    <w:p w14:paraId="38B944DC" w14:textId="08CFE76C" w:rsidR="000D7A53" w:rsidRDefault="000D7A53" w:rsidP="00D82D72"/>
    <w:p w14:paraId="55C14D07" w14:textId="46302EC2" w:rsidR="000D7A53" w:rsidRDefault="000D7A53" w:rsidP="00D82D72"/>
    <w:p w14:paraId="7CAB471D" w14:textId="51F0C3EE" w:rsidR="000D7A53" w:rsidRDefault="000D7A53" w:rsidP="00D82D72"/>
    <w:p w14:paraId="54714421" w14:textId="7C9ED4E1" w:rsidR="000D7A53" w:rsidRDefault="000D7A53" w:rsidP="00D82D72"/>
    <w:p w14:paraId="3BF364AE" w14:textId="6732B4AA" w:rsidR="000D7A53" w:rsidRDefault="000D7A53" w:rsidP="00D82D72"/>
    <w:p w14:paraId="1EFDB982" w14:textId="38A9A962" w:rsidR="000D7A53" w:rsidRDefault="000D7A53" w:rsidP="00D82D72"/>
    <w:p w14:paraId="6CF8C538" w14:textId="727DEF44" w:rsidR="000D7A53" w:rsidRDefault="000D7A53" w:rsidP="00D82D72">
      <w:r>
        <w:rPr>
          <w:noProof/>
        </w:rPr>
        <w:drawing>
          <wp:anchor distT="0" distB="0" distL="114300" distR="114300" simplePos="0" relativeHeight="251728896" behindDoc="1" locked="0" layoutInCell="1" allowOverlap="1" wp14:anchorId="60EB858B" wp14:editId="10913B40">
            <wp:simplePos x="0" y="0"/>
            <wp:positionH relativeFrom="margin">
              <wp:align>center</wp:align>
            </wp:positionH>
            <wp:positionV relativeFrom="paragraph">
              <wp:posOffset>233680</wp:posOffset>
            </wp:positionV>
            <wp:extent cx="4543547" cy="3511296"/>
            <wp:effectExtent l="0" t="0" r="0" b="0"/>
            <wp:wrapTight wrapText="bothSides">
              <wp:wrapPolygon edited="0">
                <wp:start x="0" y="0"/>
                <wp:lineTo x="0" y="21448"/>
                <wp:lineTo x="21464" y="21448"/>
                <wp:lineTo x="2146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43547" cy="3511296"/>
                    </a:xfrm>
                    <a:prstGeom prst="rect">
                      <a:avLst/>
                    </a:prstGeom>
                  </pic:spPr>
                </pic:pic>
              </a:graphicData>
            </a:graphic>
            <wp14:sizeRelH relativeFrom="margin">
              <wp14:pctWidth>0</wp14:pctWidth>
            </wp14:sizeRelH>
            <wp14:sizeRelV relativeFrom="margin">
              <wp14:pctHeight>0</wp14:pctHeight>
            </wp14:sizeRelV>
          </wp:anchor>
        </w:drawing>
      </w:r>
    </w:p>
    <w:p w14:paraId="52B3AB55" w14:textId="38AA7AFD" w:rsidR="000D7A53" w:rsidRDefault="000D7A53" w:rsidP="00D82D72"/>
    <w:p w14:paraId="69F6BAC8" w14:textId="5F2AE5B2" w:rsidR="000D7A53" w:rsidRDefault="000D7A53" w:rsidP="00D82D72"/>
    <w:p w14:paraId="0BBAC644" w14:textId="35FEC1B5" w:rsidR="000D7A53" w:rsidRDefault="000D7A53" w:rsidP="00D82D72"/>
    <w:p w14:paraId="095A1001" w14:textId="5F24A245" w:rsidR="000D7A53" w:rsidRDefault="000D7A53" w:rsidP="00D82D72"/>
    <w:p w14:paraId="1B721BD7" w14:textId="03A2DABB" w:rsidR="000D7A53" w:rsidRDefault="000D7A53" w:rsidP="00D82D72"/>
    <w:p w14:paraId="19ADE053" w14:textId="3E837FF5" w:rsidR="000D7A53" w:rsidRDefault="000D7A53" w:rsidP="00D82D72"/>
    <w:p w14:paraId="55D0AF7F" w14:textId="41E97EA4" w:rsidR="000D7A53" w:rsidRDefault="000D7A53" w:rsidP="00D82D72"/>
    <w:p w14:paraId="35AC3BCF" w14:textId="2B7F530F" w:rsidR="000D7A53" w:rsidRDefault="000D7A53" w:rsidP="00D82D72"/>
    <w:p w14:paraId="4EA23EA4" w14:textId="4149EB66" w:rsidR="000D7A53" w:rsidRDefault="000D7A53" w:rsidP="00D82D72"/>
    <w:p w14:paraId="4BD88F61" w14:textId="4E016896" w:rsidR="000D7A53" w:rsidRDefault="000D7A53" w:rsidP="00D82D72"/>
    <w:p w14:paraId="27160EFF" w14:textId="144A1193" w:rsidR="000D7A53" w:rsidRDefault="000D7A53" w:rsidP="00D82D72"/>
    <w:p w14:paraId="7890EC12" w14:textId="6ABD6D2A" w:rsidR="000D7A53" w:rsidRDefault="000D7A53" w:rsidP="00D82D72"/>
    <w:p w14:paraId="0011E391" w14:textId="4953D617" w:rsidR="000D7A53" w:rsidRDefault="000D7A53" w:rsidP="00D82D72"/>
    <w:p w14:paraId="304914D6" w14:textId="7EB12D1B" w:rsidR="000D7A53" w:rsidRDefault="000D7A53" w:rsidP="00D82D72"/>
    <w:p w14:paraId="23556F73" w14:textId="2438A8C6" w:rsidR="000D7A53" w:rsidRDefault="000D7A53" w:rsidP="00D82D72">
      <w:r>
        <w:rPr>
          <w:noProof/>
        </w:rPr>
        <w:drawing>
          <wp:anchor distT="0" distB="0" distL="114300" distR="114300" simplePos="0" relativeHeight="251730944" behindDoc="1" locked="0" layoutInCell="1" allowOverlap="1" wp14:anchorId="21CEA0EE" wp14:editId="48340637">
            <wp:simplePos x="0" y="0"/>
            <wp:positionH relativeFrom="margin">
              <wp:align>center</wp:align>
            </wp:positionH>
            <wp:positionV relativeFrom="paragraph">
              <wp:posOffset>0</wp:posOffset>
            </wp:positionV>
            <wp:extent cx="4543772" cy="3511296"/>
            <wp:effectExtent l="0" t="0" r="0" b="0"/>
            <wp:wrapTight wrapText="bothSides">
              <wp:wrapPolygon edited="0">
                <wp:start x="0" y="0"/>
                <wp:lineTo x="0" y="21448"/>
                <wp:lineTo x="21464" y="21448"/>
                <wp:lineTo x="21464" y="0"/>
                <wp:lineTo x="0" y="0"/>
              </wp:wrapPolygon>
            </wp:wrapTight>
            <wp:docPr id="49" name="Picture 4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 map&#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43772" cy="3511296"/>
                    </a:xfrm>
                    <a:prstGeom prst="rect">
                      <a:avLst/>
                    </a:prstGeom>
                  </pic:spPr>
                </pic:pic>
              </a:graphicData>
            </a:graphic>
            <wp14:sizeRelH relativeFrom="margin">
              <wp14:pctWidth>0</wp14:pctWidth>
            </wp14:sizeRelH>
            <wp14:sizeRelV relativeFrom="margin">
              <wp14:pctHeight>0</wp14:pctHeight>
            </wp14:sizeRelV>
          </wp:anchor>
        </w:drawing>
      </w:r>
    </w:p>
    <w:p w14:paraId="0D70EFFF" w14:textId="67707D5B" w:rsidR="000D7A53" w:rsidRDefault="000D7A53" w:rsidP="00D82D72"/>
    <w:p w14:paraId="4CB818B2" w14:textId="660C4BFC" w:rsidR="000D7A53" w:rsidRDefault="000D7A53" w:rsidP="00D82D72"/>
    <w:p w14:paraId="6471CEBB" w14:textId="745AB7FB" w:rsidR="000D7A53" w:rsidRDefault="000D7A53" w:rsidP="00D82D72"/>
    <w:p w14:paraId="233CE8AD" w14:textId="5E0C69BF" w:rsidR="000D7A53" w:rsidRDefault="000D7A53" w:rsidP="00D82D72"/>
    <w:p w14:paraId="6F1AFCE4" w14:textId="587837C3" w:rsidR="000D7A53" w:rsidRDefault="000D7A53" w:rsidP="00D82D72"/>
    <w:p w14:paraId="237EB151" w14:textId="12B6BFAF" w:rsidR="000D7A53" w:rsidRDefault="000D7A53" w:rsidP="00D82D72"/>
    <w:p w14:paraId="1B8C0AA8" w14:textId="77777777" w:rsidR="000D7A53" w:rsidRDefault="000D7A53" w:rsidP="00D82D72"/>
    <w:p w14:paraId="15FC12EA" w14:textId="3AB0C718" w:rsidR="000D7A53" w:rsidRDefault="000D7A53" w:rsidP="00D82D72"/>
    <w:p w14:paraId="5CF27653" w14:textId="376A754D" w:rsidR="000D7A53" w:rsidRDefault="000D7A53" w:rsidP="00D82D72"/>
    <w:p w14:paraId="6C571C54" w14:textId="203FEB20" w:rsidR="000D7A53" w:rsidRDefault="000D7A53" w:rsidP="00D82D72"/>
    <w:p w14:paraId="02D76975" w14:textId="3D0B021B" w:rsidR="000D7A53" w:rsidRDefault="000D7A53" w:rsidP="00D82D72"/>
    <w:p w14:paraId="0DB2E20F" w14:textId="3182AC0A" w:rsidR="000D7A53" w:rsidRDefault="000D7A53" w:rsidP="00D82D72"/>
    <w:p w14:paraId="1792B4E0" w14:textId="59C88A3B" w:rsidR="000D7A53" w:rsidRDefault="000D7A53" w:rsidP="00D82D72"/>
    <w:p w14:paraId="6E1C5D11" w14:textId="7D6BCF5F" w:rsidR="000D7A53" w:rsidRPr="00D82D72" w:rsidRDefault="000D7A53" w:rsidP="00D82D72">
      <w:r>
        <w:rPr>
          <w:noProof/>
        </w:rPr>
        <w:drawing>
          <wp:anchor distT="0" distB="0" distL="114300" distR="114300" simplePos="0" relativeHeight="251731968" behindDoc="1" locked="0" layoutInCell="1" allowOverlap="1" wp14:anchorId="50E50654" wp14:editId="6DDB1831">
            <wp:simplePos x="0" y="0"/>
            <wp:positionH relativeFrom="margin">
              <wp:align>center</wp:align>
            </wp:positionH>
            <wp:positionV relativeFrom="paragraph">
              <wp:posOffset>-200025</wp:posOffset>
            </wp:positionV>
            <wp:extent cx="4543622" cy="3511296"/>
            <wp:effectExtent l="0" t="0" r="0" b="0"/>
            <wp:wrapTight wrapText="bothSides">
              <wp:wrapPolygon edited="0">
                <wp:start x="0" y="0"/>
                <wp:lineTo x="0" y="21448"/>
                <wp:lineTo x="21464" y="21448"/>
                <wp:lineTo x="21464" y="0"/>
                <wp:lineTo x="0" y="0"/>
              </wp:wrapPolygon>
            </wp:wrapTight>
            <wp:docPr id="50" name="Picture 5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43622" cy="3511296"/>
                    </a:xfrm>
                    <a:prstGeom prst="rect">
                      <a:avLst/>
                    </a:prstGeom>
                  </pic:spPr>
                </pic:pic>
              </a:graphicData>
            </a:graphic>
            <wp14:sizeRelH relativeFrom="margin">
              <wp14:pctWidth>0</wp14:pctWidth>
            </wp14:sizeRelH>
            <wp14:sizeRelV relativeFrom="margin">
              <wp14:pctHeight>0</wp14:pctHeight>
            </wp14:sizeRelV>
          </wp:anchor>
        </w:drawing>
      </w:r>
    </w:p>
    <w:sectPr w:rsidR="000D7A53" w:rsidRPr="00D82D72" w:rsidSect="002869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E3614" w14:textId="77777777" w:rsidR="00E72492" w:rsidRDefault="00E72492" w:rsidP="00286914">
      <w:pPr>
        <w:spacing w:before="0" w:after="0" w:line="240" w:lineRule="auto"/>
      </w:pPr>
      <w:r>
        <w:separator/>
      </w:r>
    </w:p>
  </w:endnote>
  <w:endnote w:type="continuationSeparator" w:id="0">
    <w:p w14:paraId="7D0922D3" w14:textId="77777777" w:rsidR="00E72492" w:rsidRDefault="00E72492" w:rsidP="0028691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9E054" w14:textId="77777777" w:rsidR="00E72492" w:rsidRDefault="00E724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363687"/>
      <w:docPartObj>
        <w:docPartGallery w:val="Page Numbers (Bottom of Page)"/>
        <w:docPartUnique/>
      </w:docPartObj>
    </w:sdtPr>
    <w:sdtEndPr>
      <w:rPr>
        <w:noProof/>
      </w:rPr>
    </w:sdtEndPr>
    <w:sdtContent>
      <w:p w14:paraId="457AFA1E" w14:textId="62ABFA90" w:rsidR="00E72492" w:rsidRDefault="00E72492">
        <w:pPr>
          <w:pStyle w:val="Footer"/>
          <w:jc w:val="center"/>
        </w:pPr>
        <w:r>
          <w:fldChar w:fldCharType="begin"/>
        </w:r>
        <w:r>
          <w:instrText xml:space="preserve"> PAGE   \* MERGEFORMAT </w:instrText>
        </w:r>
        <w:r>
          <w:fldChar w:fldCharType="separate"/>
        </w:r>
        <w:r w:rsidR="005F757D">
          <w:rPr>
            <w:noProof/>
          </w:rPr>
          <w:t>2</w:t>
        </w:r>
        <w:r>
          <w:rPr>
            <w:noProof/>
          </w:rPr>
          <w:fldChar w:fldCharType="end"/>
        </w:r>
      </w:p>
    </w:sdtContent>
  </w:sdt>
  <w:p w14:paraId="50C2136F" w14:textId="77777777" w:rsidR="00E72492" w:rsidRDefault="00E724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9C25D" w14:textId="77777777" w:rsidR="00E72492" w:rsidRDefault="00E724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22566" w14:textId="77777777" w:rsidR="00E72492" w:rsidRDefault="00E72492" w:rsidP="00286914">
      <w:pPr>
        <w:spacing w:before="0" w:after="0" w:line="240" w:lineRule="auto"/>
      </w:pPr>
      <w:r>
        <w:separator/>
      </w:r>
    </w:p>
  </w:footnote>
  <w:footnote w:type="continuationSeparator" w:id="0">
    <w:p w14:paraId="17C8404C" w14:textId="77777777" w:rsidR="00E72492" w:rsidRDefault="00E72492" w:rsidP="0028691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4A3F4" w14:textId="77777777" w:rsidR="00E72492" w:rsidRDefault="00E724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DBB58" w14:textId="77777777" w:rsidR="00E72492" w:rsidRDefault="00E724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D6437" w14:textId="77777777" w:rsidR="00E72492" w:rsidRDefault="00E724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A5B7D"/>
    <w:multiLevelType w:val="hybridMultilevel"/>
    <w:tmpl w:val="845C2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E17EEE"/>
    <w:multiLevelType w:val="multilevel"/>
    <w:tmpl w:val="A80C5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184D02"/>
    <w:multiLevelType w:val="multilevel"/>
    <w:tmpl w:val="25BE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xMDUwNDUxtzQ1MDNW0lEKTi0uzszPAykwrAUAtTwASCwAAAA="/>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vzxrsr3erspve2axpv0fsk2trftp0aexdd&quot;&gt;ME_ENL_BAPC&lt;record-ids&gt;&lt;item&gt;18&lt;/item&gt;&lt;item&gt;19&lt;/item&gt;&lt;/record-ids&gt;&lt;/item&gt;&lt;/Libraries&gt;"/>
  </w:docVars>
  <w:rsids>
    <w:rsidRoot w:val="00286914"/>
    <w:rsid w:val="0000159B"/>
    <w:rsid w:val="00002A10"/>
    <w:rsid w:val="000049B9"/>
    <w:rsid w:val="000159FB"/>
    <w:rsid w:val="000200CE"/>
    <w:rsid w:val="0002453F"/>
    <w:rsid w:val="00032918"/>
    <w:rsid w:val="0005006B"/>
    <w:rsid w:val="000613C5"/>
    <w:rsid w:val="000614E8"/>
    <w:rsid w:val="00076255"/>
    <w:rsid w:val="000769DA"/>
    <w:rsid w:val="000771CD"/>
    <w:rsid w:val="00081922"/>
    <w:rsid w:val="00091844"/>
    <w:rsid w:val="0009756E"/>
    <w:rsid w:val="000A25DA"/>
    <w:rsid w:val="000A39BE"/>
    <w:rsid w:val="000A432D"/>
    <w:rsid w:val="000C2BF6"/>
    <w:rsid w:val="000C50E9"/>
    <w:rsid w:val="000D2CD6"/>
    <w:rsid w:val="000D5B1E"/>
    <w:rsid w:val="000D7A53"/>
    <w:rsid w:val="000F43B3"/>
    <w:rsid w:val="00111DDF"/>
    <w:rsid w:val="00115CCE"/>
    <w:rsid w:val="001165D8"/>
    <w:rsid w:val="001235FD"/>
    <w:rsid w:val="00123F2E"/>
    <w:rsid w:val="001322A2"/>
    <w:rsid w:val="0013774F"/>
    <w:rsid w:val="00142744"/>
    <w:rsid w:val="001641CD"/>
    <w:rsid w:val="00174703"/>
    <w:rsid w:val="00196299"/>
    <w:rsid w:val="001C6477"/>
    <w:rsid w:val="001D3CAB"/>
    <w:rsid w:val="001D7E20"/>
    <w:rsid w:val="001E2F69"/>
    <w:rsid w:val="001F02FB"/>
    <w:rsid w:val="00203A01"/>
    <w:rsid w:val="00211F2D"/>
    <w:rsid w:val="002179C3"/>
    <w:rsid w:val="00222240"/>
    <w:rsid w:val="00244F2E"/>
    <w:rsid w:val="00245DFE"/>
    <w:rsid w:val="00246F55"/>
    <w:rsid w:val="002470BB"/>
    <w:rsid w:val="00251D61"/>
    <w:rsid w:val="00263995"/>
    <w:rsid w:val="00267616"/>
    <w:rsid w:val="00274B9C"/>
    <w:rsid w:val="00280114"/>
    <w:rsid w:val="00281AE8"/>
    <w:rsid w:val="00285824"/>
    <w:rsid w:val="00286914"/>
    <w:rsid w:val="002A40B9"/>
    <w:rsid w:val="002B49B8"/>
    <w:rsid w:val="002B573F"/>
    <w:rsid w:val="002B7ED1"/>
    <w:rsid w:val="002C000B"/>
    <w:rsid w:val="002C0533"/>
    <w:rsid w:val="002C7381"/>
    <w:rsid w:val="002D029A"/>
    <w:rsid w:val="002D532B"/>
    <w:rsid w:val="002F58A8"/>
    <w:rsid w:val="00310CE2"/>
    <w:rsid w:val="003112CB"/>
    <w:rsid w:val="00312330"/>
    <w:rsid w:val="003136EF"/>
    <w:rsid w:val="0032373F"/>
    <w:rsid w:val="00325935"/>
    <w:rsid w:val="00330574"/>
    <w:rsid w:val="0034091A"/>
    <w:rsid w:val="00343B76"/>
    <w:rsid w:val="00360F07"/>
    <w:rsid w:val="00362A9D"/>
    <w:rsid w:val="00367F0F"/>
    <w:rsid w:val="0037658C"/>
    <w:rsid w:val="00376760"/>
    <w:rsid w:val="00382237"/>
    <w:rsid w:val="003838E2"/>
    <w:rsid w:val="00392F41"/>
    <w:rsid w:val="003C126C"/>
    <w:rsid w:val="003C2CE4"/>
    <w:rsid w:val="003C5CCD"/>
    <w:rsid w:val="003D0C0B"/>
    <w:rsid w:val="003D5C71"/>
    <w:rsid w:val="003D7CDC"/>
    <w:rsid w:val="003E2816"/>
    <w:rsid w:val="003E36D4"/>
    <w:rsid w:val="003E55AF"/>
    <w:rsid w:val="00422EB2"/>
    <w:rsid w:val="0042389B"/>
    <w:rsid w:val="004345B8"/>
    <w:rsid w:val="004350A7"/>
    <w:rsid w:val="00435913"/>
    <w:rsid w:val="00436C7F"/>
    <w:rsid w:val="00444336"/>
    <w:rsid w:val="00467485"/>
    <w:rsid w:val="00472997"/>
    <w:rsid w:val="00473742"/>
    <w:rsid w:val="0047628C"/>
    <w:rsid w:val="00477163"/>
    <w:rsid w:val="00483634"/>
    <w:rsid w:val="00483EE1"/>
    <w:rsid w:val="00485804"/>
    <w:rsid w:val="00485AF0"/>
    <w:rsid w:val="00486D94"/>
    <w:rsid w:val="004A1ADF"/>
    <w:rsid w:val="004A4376"/>
    <w:rsid w:val="004A6E7A"/>
    <w:rsid w:val="004E6E5A"/>
    <w:rsid w:val="004F09C6"/>
    <w:rsid w:val="004F29BB"/>
    <w:rsid w:val="004F3891"/>
    <w:rsid w:val="00505BF4"/>
    <w:rsid w:val="005104BA"/>
    <w:rsid w:val="00515432"/>
    <w:rsid w:val="00515725"/>
    <w:rsid w:val="00517A4D"/>
    <w:rsid w:val="00521C34"/>
    <w:rsid w:val="005234BC"/>
    <w:rsid w:val="00531FE1"/>
    <w:rsid w:val="0053370A"/>
    <w:rsid w:val="005375BC"/>
    <w:rsid w:val="00545217"/>
    <w:rsid w:val="005478D1"/>
    <w:rsid w:val="00551B07"/>
    <w:rsid w:val="00553C1E"/>
    <w:rsid w:val="00566482"/>
    <w:rsid w:val="00573120"/>
    <w:rsid w:val="00573A4E"/>
    <w:rsid w:val="005801CE"/>
    <w:rsid w:val="00584FA6"/>
    <w:rsid w:val="00594835"/>
    <w:rsid w:val="00596B5D"/>
    <w:rsid w:val="005A2B42"/>
    <w:rsid w:val="005A5A9A"/>
    <w:rsid w:val="005E198E"/>
    <w:rsid w:val="005E1CCC"/>
    <w:rsid w:val="005E5952"/>
    <w:rsid w:val="005E65D4"/>
    <w:rsid w:val="005F0317"/>
    <w:rsid w:val="005F52E8"/>
    <w:rsid w:val="005F757D"/>
    <w:rsid w:val="006002F1"/>
    <w:rsid w:val="006027BA"/>
    <w:rsid w:val="00614FDD"/>
    <w:rsid w:val="006209C6"/>
    <w:rsid w:val="00621F1C"/>
    <w:rsid w:val="00624362"/>
    <w:rsid w:val="0063278F"/>
    <w:rsid w:val="00635358"/>
    <w:rsid w:val="006417D7"/>
    <w:rsid w:val="00642153"/>
    <w:rsid w:val="0064583E"/>
    <w:rsid w:val="00656A2D"/>
    <w:rsid w:val="0066240F"/>
    <w:rsid w:val="00663DC6"/>
    <w:rsid w:val="006656C1"/>
    <w:rsid w:val="00670347"/>
    <w:rsid w:val="00681D07"/>
    <w:rsid w:val="0068489F"/>
    <w:rsid w:val="0069098B"/>
    <w:rsid w:val="00696D35"/>
    <w:rsid w:val="006A5539"/>
    <w:rsid w:val="006A56EE"/>
    <w:rsid w:val="006D30A4"/>
    <w:rsid w:val="006D75D9"/>
    <w:rsid w:val="006E0DDD"/>
    <w:rsid w:val="006E17EB"/>
    <w:rsid w:val="006E39CC"/>
    <w:rsid w:val="006E7D57"/>
    <w:rsid w:val="0070306D"/>
    <w:rsid w:val="00707ED2"/>
    <w:rsid w:val="00714EFF"/>
    <w:rsid w:val="00737A39"/>
    <w:rsid w:val="00744539"/>
    <w:rsid w:val="00750BB9"/>
    <w:rsid w:val="00763FE7"/>
    <w:rsid w:val="007658F2"/>
    <w:rsid w:val="00765DF7"/>
    <w:rsid w:val="0076626D"/>
    <w:rsid w:val="00772AD7"/>
    <w:rsid w:val="00775A3D"/>
    <w:rsid w:val="00782595"/>
    <w:rsid w:val="00782A9C"/>
    <w:rsid w:val="0079147C"/>
    <w:rsid w:val="00791F12"/>
    <w:rsid w:val="0079335E"/>
    <w:rsid w:val="007A1540"/>
    <w:rsid w:val="007B5DB1"/>
    <w:rsid w:val="007E0B98"/>
    <w:rsid w:val="007E648B"/>
    <w:rsid w:val="007E6D0F"/>
    <w:rsid w:val="007F061F"/>
    <w:rsid w:val="008002E0"/>
    <w:rsid w:val="00813B97"/>
    <w:rsid w:val="00814C88"/>
    <w:rsid w:val="00834997"/>
    <w:rsid w:val="0083770C"/>
    <w:rsid w:val="0084637D"/>
    <w:rsid w:val="00857BEF"/>
    <w:rsid w:val="00860974"/>
    <w:rsid w:val="00860B53"/>
    <w:rsid w:val="00865503"/>
    <w:rsid w:val="00866AA5"/>
    <w:rsid w:val="00882229"/>
    <w:rsid w:val="008963EE"/>
    <w:rsid w:val="008B570D"/>
    <w:rsid w:val="008C068E"/>
    <w:rsid w:val="008C14AC"/>
    <w:rsid w:val="008C3CD7"/>
    <w:rsid w:val="008C5856"/>
    <w:rsid w:val="008D0AE6"/>
    <w:rsid w:val="008F35B8"/>
    <w:rsid w:val="008F39BF"/>
    <w:rsid w:val="00900300"/>
    <w:rsid w:val="0091564E"/>
    <w:rsid w:val="00920C25"/>
    <w:rsid w:val="00922459"/>
    <w:rsid w:val="00932CB1"/>
    <w:rsid w:val="009369D4"/>
    <w:rsid w:val="00944054"/>
    <w:rsid w:val="00952EFC"/>
    <w:rsid w:val="00953307"/>
    <w:rsid w:val="009544E5"/>
    <w:rsid w:val="00963C8A"/>
    <w:rsid w:val="00964A2E"/>
    <w:rsid w:val="00964D83"/>
    <w:rsid w:val="00971E4E"/>
    <w:rsid w:val="00973BF1"/>
    <w:rsid w:val="00974467"/>
    <w:rsid w:val="00982AE3"/>
    <w:rsid w:val="00984517"/>
    <w:rsid w:val="009861A8"/>
    <w:rsid w:val="00986471"/>
    <w:rsid w:val="00987687"/>
    <w:rsid w:val="009923C0"/>
    <w:rsid w:val="009A7B25"/>
    <w:rsid w:val="009C1819"/>
    <w:rsid w:val="009E7C9B"/>
    <w:rsid w:val="009F3C79"/>
    <w:rsid w:val="00A1011E"/>
    <w:rsid w:val="00A114E5"/>
    <w:rsid w:val="00A11FA4"/>
    <w:rsid w:val="00A1584F"/>
    <w:rsid w:val="00A220C6"/>
    <w:rsid w:val="00A24597"/>
    <w:rsid w:val="00A24C08"/>
    <w:rsid w:val="00A27AF4"/>
    <w:rsid w:val="00A3085C"/>
    <w:rsid w:val="00A33F00"/>
    <w:rsid w:val="00A37485"/>
    <w:rsid w:val="00A4396A"/>
    <w:rsid w:val="00A455C5"/>
    <w:rsid w:val="00A51B93"/>
    <w:rsid w:val="00A54915"/>
    <w:rsid w:val="00A63D65"/>
    <w:rsid w:val="00A64E32"/>
    <w:rsid w:val="00A826E4"/>
    <w:rsid w:val="00A83105"/>
    <w:rsid w:val="00A84C6B"/>
    <w:rsid w:val="00A84D85"/>
    <w:rsid w:val="00A84DCD"/>
    <w:rsid w:val="00A90CDB"/>
    <w:rsid w:val="00A92DB8"/>
    <w:rsid w:val="00A94F61"/>
    <w:rsid w:val="00A97778"/>
    <w:rsid w:val="00AA22A4"/>
    <w:rsid w:val="00AA2522"/>
    <w:rsid w:val="00AA5A23"/>
    <w:rsid w:val="00AB1078"/>
    <w:rsid w:val="00AB3E58"/>
    <w:rsid w:val="00AC2EAF"/>
    <w:rsid w:val="00AD1C45"/>
    <w:rsid w:val="00AD43D7"/>
    <w:rsid w:val="00B06D53"/>
    <w:rsid w:val="00B30D88"/>
    <w:rsid w:val="00B31955"/>
    <w:rsid w:val="00B31B30"/>
    <w:rsid w:val="00B44E99"/>
    <w:rsid w:val="00B470BA"/>
    <w:rsid w:val="00B67A66"/>
    <w:rsid w:val="00B82853"/>
    <w:rsid w:val="00B8356B"/>
    <w:rsid w:val="00B92881"/>
    <w:rsid w:val="00B9542B"/>
    <w:rsid w:val="00BA0007"/>
    <w:rsid w:val="00BA4A54"/>
    <w:rsid w:val="00BB14E4"/>
    <w:rsid w:val="00BB2FA4"/>
    <w:rsid w:val="00BB4BFB"/>
    <w:rsid w:val="00BB5DDB"/>
    <w:rsid w:val="00BC23D4"/>
    <w:rsid w:val="00BC2A88"/>
    <w:rsid w:val="00BD40B3"/>
    <w:rsid w:val="00BE04D2"/>
    <w:rsid w:val="00BE1F8B"/>
    <w:rsid w:val="00BE33F0"/>
    <w:rsid w:val="00BF2683"/>
    <w:rsid w:val="00C0194A"/>
    <w:rsid w:val="00C060FE"/>
    <w:rsid w:val="00C07F80"/>
    <w:rsid w:val="00C20724"/>
    <w:rsid w:val="00C427CD"/>
    <w:rsid w:val="00C53A0D"/>
    <w:rsid w:val="00C565DB"/>
    <w:rsid w:val="00C72333"/>
    <w:rsid w:val="00C728BA"/>
    <w:rsid w:val="00C80C79"/>
    <w:rsid w:val="00C86067"/>
    <w:rsid w:val="00C86F17"/>
    <w:rsid w:val="00C90B31"/>
    <w:rsid w:val="00CA11E6"/>
    <w:rsid w:val="00CA26C7"/>
    <w:rsid w:val="00CA2879"/>
    <w:rsid w:val="00CA42D2"/>
    <w:rsid w:val="00CB472A"/>
    <w:rsid w:val="00CB4815"/>
    <w:rsid w:val="00CC0E1A"/>
    <w:rsid w:val="00CC3BDD"/>
    <w:rsid w:val="00CF1C14"/>
    <w:rsid w:val="00D02B5E"/>
    <w:rsid w:val="00D13B48"/>
    <w:rsid w:val="00D16FC5"/>
    <w:rsid w:val="00D20E2D"/>
    <w:rsid w:val="00D260F9"/>
    <w:rsid w:val="00D3093A"/>
    <w:rsid w:val="00D375D7"/>
    <w:rsid w:val="00D43CB0"/>
    <w:rsid w:val="00D51CB3"/>
    <w:rsid w:val="00D57433"/>
    <w:rsid w:val="00D631FC"/>
    <w:rsid w:val="00D63A11"/>
    <w:rsid w:val="00D64BE3"/>
    <w:rsid w:val="00D70C87"/>
    <w:rsid w:val="00D71022"/>
    <w:rsid w:val="00D82D72"/>
    <w:rsid w:val="00D82EBA"/>
    <w:rsid w:val="00D85ED3"/>
    <w:rsid w:val="00D9059E"/>
    <w:rsid w:val="00D97605"/>
    <w:rsid w:val="00D97AA2"/>
    <w:rsid w:val="00DA14B2"/>
    <w:rsid w:val="00DA22A2"/>
    <w:rsid w:val="00DA6D90"/>
    <w:rsid w:val="00DC3251"/>
    <w:rsid w:val="00DD032B"/>
    <w:rsid w:val="00DE156B"/>
    <w:rsid w:val="00DE17F8"/>
    <w:rsid w:val="00DE38D1"/>
    <w:rsid w:val="00DF55C2"/>
    <w:rsid w:val="00E10D09"/>
    <w:rsid w:val="00E26AB3"/>
    <w:rsid w:val="00E35195"/>
    <w:rsid w:val="00E3524D"/>
    <w:rsid w:val="00E4028A"/>
    <w:rsid w:val="00E41E89"/>
    <w:rsid w:val="00E71A2F"/>
    <w:rsid w:val="00E72492"/>
    <w:rsid w:val="00E77BA8"/>
    <w:rsid w:val="00E804E7"/>
    <w:rsid w:val="00E81CAC"/>
    <w:rsid w:val="00E8404A"/>
    <w:rsid w:val="00E902F2"/>
    <w:rsid w:val="00E93538"/>
    <w:rsid w:val="00E9619D"/>
    <w:rsid w:val="00EA6FAA"/>
    <w:rsid w:val="00EB15DD"/>
    <w:rsid w:val="00EB1877"/>
    <w:rsid w:val="00EB3354"/>
    <w:rsid w:val="00EB3A05"/>
    <w:rsid w:val="00EC609E"/>
    <w:rsid w:val="00EC73EF"/>
    <w:rsid w:val="00ED5BF4"/>
    <w:rsid w:val="00EE52A5"/>
    <w:rsid w:val="00EE72D7"/>
    <w:rsid w:val="00EF58A1"/>
    <w:rsid w:val="00F00B2F"/>
    <w:rsid w:val="00F11774"/>
    <w:rsid w:val="00F22C28"/>
    <w:rsid w:val="00F27BC5"/>
    <w:rsid w:val="00F30F12"/>
    <w:rsid w:val="00F36C96"/>
    <w:rsid w:val="00F36D41"/>
    <w:rsid w:val="00F477A7"/>
    <w:rsid w:val="00F52A20"/>
    <w:rsid w:val="00F569BF"/>
    <w:rsid w:val="00F65E9F"/>
    <w:rsid w:val="00F83382"/>
    <w:rsid w:val="00F83652"/>
    <w:rsid w:val="00F84D98"/>
    <w:rsid w:val="00F93E6A"/>
    <w:rsid w:val="00F96550"/>
    <w:rsid w:val="00F97E6B"/>
    <w:rsid w:val="00FA2C42"/>
    <w:rsid w:val="00FB7C79"/>
    <w:rsid w:val="00FD2C49"/>
    <w:rsid w:val="00FD3BFA"/>
    <w:rsid w:val="00FD705A"/>
    <w:rsid w:val="00FE3A15"/>
    <w:rsid w:val="00FF28F5"/>
    <w:rsid w:val="00FF439E"/>
    <w:rsid w:val="00FF5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B12F7DD"/>
  <w15:chartTrackingRefBased/>
  <w15:docId w15:val="{DA4D4EBF-93B3-413E-80B3-F606797E3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914"/>
  </w:style>
  <w:style w:type="paragraph" w:styleId="Heading1">
    <w:name w:val="heading 1"/>
    <w:basedOn w:val="Normal"/>
    <w:next w:val="Normal"/>
    <w:link w:val="Heading1Char"/>
    <w:uiPriority w:val="9"/>
    <w:qFormat/>
    <w:rsid w:val="0028691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8691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86914"/>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286914"/>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86914"/>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86914"/>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86914"/>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8691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8691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691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286914"/>
    <w:rPr>
      <w:rFonts w:asciiTheme="majorHAnsi" w:eastAsiaTheme="majorEastAsia" w:hAnsiTheme="majorHAnsi" w:cstheme="majorBidi"/>
      <w:caps/>
      <w:color w:val="4472C4" w:themeColor="accent1"/>
      <w:spacing w:val="10"/>
      <w:sz w:val="52"/>
      <w:szCs w:val="52"/>
    </w:rPr>
  </w:style>
  <w:style w:type="character" w:customStyle="1" w:styleId="Heading1Char">
    <w:name w:val="Heading 1 Char"/>
    <w:basedOn w:val="DefaultParagraphFont"/>
    <w:link w:val="Heading1"/>
    <w:uiPriority w:val="9"/>
    <w:rsid w:val="00286914"/>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286914"/>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286914"/>
    <w:rPr>
      <w:caps/>
      <w:color w:val="1F3763" w:themeColor="accent1" w:themeShade="7F"/>
      <w:spacing w:val="15"/>
    </w:rPr>
  </w:style>
  <w:style w:type="character" w:customStyle="1" w:styleId="Heading4Char">
    <w:name w:val="Heading 4 Char"/>
    <w:basedOn w:val="DefaultParagraphFont"/>
    <w:link w:val="Heading4"/>
    <w:uiPriority w:val="9"/>
    <w:semiHidden/>
    <w:rsid w:val="00286914"/>
    <w:rPr>
      <w:caps/>
      <w:color w:val="2F5496" w:themeColor="accent1" w:themeShade="BF"/>
      <w:spacing w:val="10"/>
    </w:rPr>
  </w:style>
  <w:style w:type="character" w:customStyle="1" w:styleId="Heading5Char">
    <w:name w:val="Heading 5 Char"/>
    <w:basedOn w:val="DefaultParagraphFont"/>
    <w:link w:val="Heading5"/>
    <w:uiPriority w:val="9"/>
    <w:semiHidden/>
    <w:rsid w:val="00286914"/>
    <w:rPr>
      <w:caps/>
      <w:color w:val="2F5496" w:themeColor="accent1" w:themeShade="BF"/>
      <w:spacing w:val="10"/>
    </w:rPr>
  </w:style>
  <w:style w:type="character" w:customStyle="1" w:styleId="Heading6Char">
    <w:name w:val="Heading 6 Char"/>
    <w:basedOn w:val="DefaultParagraphFont"/>
    <w:link w:val="Heading6"/>
    <w:uiPriority w:val="9"/>
    <w:semiHidden/>
    <w:rsid w:val="00286914"/>
    <w:rPr>
      <w:caps/>
      <w:color w:val="2F5496" w:themeColor="accent1" w:themeShade="BF"/>
      <w:spacing w:val="10"/>
    </w:rPr>
  </w:style>
  <w:style w:type="character" w:customStyle="1" w:styleId="Heading7Char">
    <w:name w:val="Heading 7 Char"/>
    <w:basedOn w:val="DefaultParagraphFont"/>
    <w:link w:val="Heading7"/>
    <w:uiPriority w:val="9"/>
    <w:semiHidden/>
    <w:rsid w:val="00286914"/>
    <w:rPr>
      <w:caps/>
      <w:color w:val="2F5496" w:themeColor="accent1" w:themeShade="BF"/>
      <w:spacing w:val="10"/>
    </w:rPr>
  </w:style>
  <w:style w:type="character" w:customStyle="1" w:styleId="Heading8Char">
    <w:name w:val="Heading 8 Char"/>
    <w:basedOn w:val="DefaultParagraphFont"/>
    <w:link w:val="Heading8"/>
    <w:uiPriority w:val="9"/>
    <w:semiHidden/>
    <w:rsid w:val="00286914"/>
    <w:rPr>
      <w:caps/>
      <w:spacing w:val="10"/>
      <w:sz w:val="18"/>
      <w:szCs w:val="18"/>
    </w:rPr>
  </w:style>
  <w:style w:type="character" w:customStyle="1" w:styleId="Heading9Char">
    <w:name w:val="Heading 9 Char"/>
    <w:basedOn w:val="DefaultParagraphFont"/>
    <w:link w:val="Heading9"/>
    <w:uiPriority w:val="9"/>
    <w:semiHidden/>
    <w:rsid w:val="00286914"/>
    <w:rPr>
      <w:i/>
      <w:iCs/>
      <w:caps/>
      <w:spacing w:val="10"/>
      <w:sz w:val="18"/>
      <w:szCs w:val="18"/>
    </w:rPr>
  </w:style>
  <w:style w:type="paragraph" w:styleId="Caption">
    <w:name w:val="caption"/>
    <w:basedOn w:val="Normal"/>
    <w:next w:val="Normal"/>
    <w:uiPriority w:val="35"/>
    <w:unhideWhenUsed/>
    <w:qFormat/>
    <w:rsid w:val="00286914"/>
    <w:rPr>
      <w:b/>
      <w:bCs/>
      <w:color w:val="2F5496" w:themeColor="accent1" w:themeShade="BF"/>
      <w:sz w:val="16"/>
      <w:szCs w:val="16"/>
    </w:rPr>
  </w:style>
  <w:style w:type="paragraph" w:styleId="Subtitle">
    <w:name w:val="Subtitle"/>
    <w:basedOn w:val="Normal"/>
    <w:next w:val="Normal"/>
    <w:link w:val="SubtitleChar"/>
    <w:uiPriority w:val="11"/>
    <w:qFormat/>
    <w:rsid w:val="0028691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86914"/>
    <w:rPr>
      <w:caps/>
      <w:color w:val="595959" w:themeColor="text1" w:themeTint="A6"/>
      <w:spacing w:val="10"/>
      <w:sz w:val="21"/>
      <w:szCs w:val="21"/>
    </w:rPr>
  </w:style>
  <w:style w:type="character" w:styleId="Strong">
    <w:name w:val="Strong"/>
    <w:uiPriority w:val="22"/>
    <w:qFormat/>
    <w:rsid w:val="00286914"/>
    <w:rPr>
      <w:b/>
      <w:bCs/>
    </w:rPr>
  </w:style>
  <w:style w:type="character" w:styleId="Emphasis">
    <w:name w:val="Emphasis"/>
    <w:uiPriority w:val="20"/>
    <w:qFormat/>
    <w:rsid w:val="00286914"/>
    <w:rPr>
      <w:caps/>
      <w:color w:val="1F3763" w:themeColor="accent1" w:themeShade="7F"/>
      <w:spacing w:val="5"/>
    </w:rPr>
  </w:style>
  <w:style w:type="paragraph" w:styleId="NoSpacing">
    <w:name w:val="No Spacing"/>
    <w:uiPriority w:val="1"/>
    <w:qFormat/>
    <w:rsid w:val="00286914"/>
    <w:pPr>
      <w:spacing w:after="0" w:line="240" w:lineRule="auto"/>
    </w:pPr>
  </w:style>
  <w:style w:type="paragraph" w:styleId="Quote">
    <w:name w:val="Quote"/>
    <w:basedOn w:val="Normal"/>
    <w:next w:val="Normal"/>
    <w:link w:val="QuoteChar"/>
    <w:uiPriority w:val="29"/>
    <w:qFormat/>
    <w:rsid w:val="00286914"/>
    <w:rPr>
      <w:i/>
      <w:iCs/>
      <w:sz w:val="24"/>
      <w:szCs w:val="24"/>
    </w:rPr>
  </w:style>
  <w:style w:type="character" w:customStyle="1" w:styleId="QuoteChar">
    <w:name w:val="Quote Char"/>
    <w:basedOn w:val="DefaultParagraphFont"/>
    <w:link w:val="Quote"/>
    <w:uiPriority w:val="29"/>
    <w:rsid w:val="00286914"/>
    <w:rPr>
      <w:i/>
      <w:iCs/>
      <w:sz w:val="24"/>
      <w:szCs w:val="24"/>
    </w:rPr>
  </w:style>
  <w:style w:type="paragraph" w:styleId="IntenseQuote">
    <w:name w:val="Intense Quote"/>
    <w:basedOn w:val="Normal"/>
    <w:next w:val="Normal"/>
    <w:link w:val="IntenseQuoteChar"/>
    <w:uiPriority w:val="30"/>
    <w:qFormat/>
    <w:rsid w:val="00286914"/>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86914"/>
    <w:rPr>
      <w:color w:val="4472C4" w:themeColor="accent1"/>
      <w:sz w:val="24"/>
      <w:szCs w:val="24"/>
    </w:rPr>
  </w:style>
  <w:style w:type="character" w:styleId="SubtleEmphasis">
    <w:name w:val="Subtle Emphasis"/>
    <w:uiPriority w:val="19"/>
    <w:qFormat/>
    <w:rsid w:val="00286914"/>
    <w:rPr>
      <w:i/>
      <w:iCs/>
      <w:color w:val="1F3763" w:themeColor="accent1" w:themeShade="7F"/>
    </w:rPr>
  </w:style>
  <w:style w:type="character" w:styleId="IntenseEmphasis">
    <w:name w:val="Intense Emphasis"/>
    <w:uiPriority w:val="21"/>
    <w:qFormat/>
    <w:rsid w:val="00286914"/>
    <w:rPr>
      <w:b/>
      <w:bCs/>
      <w:caps/>
      <w:color w:val="1F3763" w:themeColor="accent1" w:themeShade="7F"/>
      <w:spacing w:val="10"/>
    </w:rPr>
  </w:style>
  <w:style w:type="character" w:styleId="SubtleReference">
    <w:name w:val="Subtle Reference"/>
    <w:uiPriority w:val="31"/>
    <w:qFormat/>
    <w:rsid w:val="00286914"/>
    <w:rPr>
      <w:b/>
      <w:bCs/>
      <w:color w:val="4472C4" w:themeColor="accent1"/>
    </w:rPr>
  </w:style>
  <w:style w:type="character" w:styleId="IntenseReference">
    <w:name w:val="Intense Reference"/>
    <w:uiPriority w:val="32"/>
    <w:qFormat/>
    <w:rsid w:val="00286914"/>
    <w:rPr>
      <w:b/>
      <w:bCs/>
      <w:i/>
      <w:iCs/>
      <w:caps/>
      <w:color w:val="4472C4" w:themeColor="accent1"/>
    </w:rPr>
  </w:style>
  <w:style w:type="character" w:styleId="BookTitle">
    <w:name w:val="Book Title"/>
    <w:uiPriority w:val="33"/>
    <w:qFormat/>
    <w:rsid w:val="00286914"/>
    <w:rPr>
      <w:b/>
      <w:bCs/>
      <w:i/>
      <w:iCs/>
      <w:spacing w:val="0"/>
    </w:rPr>
  </w:style>
  <w:style w:type="paragraph" w:styleId="TOCHeading">
    <w:name w:val="TOC Heading"/>
    <w:basedOn w:val="Heading1"/>
    <w:next w:val="Normal"/>
    <w:uiPriority w:val="39"/>
    <w:unhideWhenUsed/>
    <w:qFormat/>
    <w:rsid w:val="00286914"/>
    <w:pPr>
      <w:outlineLvl w:val="9"/>
    </w:pPr>
  </w:style>
  <w:style w:type="paragraph" w:styleId="Header">
    <w:name w:val="header"/>
    <w:basedOn w:val="Normal"/>
    <w:link w:val="HeaderChar"/>
    <w:uiPriority w:val="99"/>
    <w:unhideWhenUsed/>
    <w:rsid w:val="0028691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86914"/>
  </w:style>
  <w:style w:type="paragraph" w:styleId="Footer">
    <w:name w:val="footer"/>
    <w:basedOn w:val="Normal"/>
    <w:link w:val="FooterChar"/>
    <w:uiPriority w:val="99"/>
    <w:unhideWhenUsed/>
    <w:rsid w:val="0028691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86914"/>
  </w:style>
  <w:style w:type="paragraph" w:styleId="TOC1">
    <w:name w:val="toc 1"/>
    <w:basedOn w:val="Normal"/>
    <w:next w:val="Normal"/>
    <w:autoRedefine/>
    <w:uiPriority w:val="39"/>
    <w:unhideWhenUsed/>
    <w:rsid w:val="00D82D72"/>
    <w:pPr>
      <w:spacing w:after="100"/>
    </w:pPr>
  </w:style>
  <w:style w:type="character" w:styleId="Hyperlink">
    <w:name w:val="Hyperlink"/>
    <w:basedOn w:val="DefaultParagraphFont"/>
    <w:uiPriority w:val="99"/>
    <w:unhideWhenUsed/>
    <w:rsid w:val="00D82D72"/>
    <w:rPr>
      <w:color w:val="0563C1" w:themeColor="hyperlink"/>
      <w:u w:val="single"/>
    </w:rPr>
  </w:style>
  <w:style w:type="paragraph" w:styleId="BalloonText">
    <w:name w:val="Balloon Text"/>
    <w:basedOn w:val="Normal"/>
    <w:link w:val="BalloonTextChar"/>
    <w:uiPriority w:val="99"/>
    <w:semiHidden/>
    <w:unhideWhenUsed/>
    <w:rsid w:val="007F061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61F"/>
    <w:rPr>
      <w:rFonts w:ascii="Segoe UI" w:hAnsi="Segoe UI" w:cs="Segoe UI"/>
      <w:sz w:val="18"/>
      <w:szCs w:val="18"/>
    </w:rPr>
  </w:style>
  <w:style w:type="paragraph" w:styleId="Bibliography">
    <w:name w:val="Bibliography"/>
    <w:basedOn w:val="Normal"/>
    <w:next w:val="Normal"/>
    <w:uiPriority w:val="37"/>
    <w:unhideWhenUsed/>
    <w:rsid w:val="006D30A4"/>
    <w:pPr>
      <w:tabs>
        <w:tab w:val="left" w:pos="384"/>
      </w:tabs>
      <w:spacing w:after="240" w:line="240" w:lineRule="auto"/>
      <w:ind w:left="384" w:hanging="384"/>
    </w:pPr>
  </w:style>
  <w:style w:type="table" w:styleId="TableGrid">
    <w:name w:val="Table Grid"/>
    <w:basedOn w:val="TableNormal"/>
    <w:uiPriority w:val="39"/>
    <w:rsid w:val="005801C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352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E3524D"/>
    <w:rPr>
      <w:color w:val="605E5C"/>
      <w:shd w:val="clear" w:color="auto" w:fill="E1DFDD"/>
    </w:rPr>
  </w:style>
  <w:style w:type="paragraph" w:styleId="ListParagraph">
    <w:name w:val="List Paragraph"/>
    <w:basedOn w:val="Normal"/>
    <w:uiPriority w:val="34"/>
    <w:qFormat/>
    <w:rsid w:val="00573120"/>
    <w:pPr>
      <w:ind w:left="720"/>
      <w:contextualSpacing/>
    </w:pPr>
  </w:style>
  <w:style w:type="character" w:styleId="CommentReference">
    <w:name w:val="annotation reference"/>
    <w:basedOn w:val="DefaultParagraphFont"/>
    <w:uiPriority w:val="99"/>
    <w:semiHidden/>
    <w:unhideWhenUsed/>
    <w:rsid w:val="00F477A7"/>
    <w:rPr>
      <w:sz w:val="16"/>
      <w:szCs w:val="16"/>
    </w:rPr>
  </w:style>
  <w:style w:type="paragraph" w:styleId="CommentText">
    <w:name w:val="annotation text"/>
    <w:basedOn w:val="Normal"/>
    <w:link w:val="CommentTextChar"/>
    <w:uiPriority w:val="99"/>
    <w:semiHidden/>
    <w:unhideWhenUsed/>
    <w:rsid w:val="00F477A7"/>
    <w:pPr>
      <w:spacing w:line="240" w:lineRule="auto"/>
    </w:pPr>
  </w:style>
  <w:style w:type="character" w:customStyle="1" w:styleId="CommentTextChar">
    <w:name w:val="Comment Text Char"/>
    <w:basedOn w:val="DefaultParagraphFont"/>
    <w:link w:val="CommentText"/>
    <w:uiPriority w:val="99"/>
    <w:semiHidden/>
    <w:rsid w:val="00F477A7"/>
  </w:style>
  <w:style w:type="paragraph" w:styleId="CommentSubject">
    <w:name w:val="annotation subject"/>
    <w:basedOn w:val="CommentText"/>
    <w:next w:val="CommentText"/>
    <w:link w:val="CommentSubjectChar"/>
    <w:uiPriority w:val="99"/>
    <w:semiHidden/>
    <w:unhideWhenUsed/>
    <w:rsid w:val="00F477A7"/>
    <w:rPr>
      <w:b/>
      <w:bCs/>
    </w:rPr>
  </w:style>
  <w:style w:type="character" w:customStyle="1" w:styleId="CommentSubjectChar">
    <w:name w:val="Comment Subject Char"/>
    <w:basedOn w:val="CommentTextChar"/>
    <w:link w:val="CommentSubject"/>
    <w:uiPriority w:val="99"/>
    <w:semiHidden/>
    <w:rsid w:val="00F477A7"/>
    <w:rPr>
      <w:b/>
      <w:bCs/>
    </w:rPr>
  </w:style>
  <w:style w:type="table" w:styleId="PlainTable5">
    <w:name w:val="Plain Table 5"/>
    <w:basedOn w:val="TableNormal"/>
    <w:uiPriority w:val="45"/>
    <w:rsid w:val="00CC0E1A"/>
    <w:pPr>
      <w:spacing w:before="0" w:after="0" w:line="240" w:lineRule="auto"/>
    </w:pPr>
    <w:rPr>
      <w:rFonts w:eastAsiaTheme="minorHAns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69098B"/>
    <w:pPr>
      <w:spacing w:before="0" w:after="0" w:line="240" w:lineRule="auto"/>
    </w:pPr>
  </w:style>
  <w:style w:type="paragraph" w:styleId="FootnoteText">
    <w:name w:val="footnote text"/>
    <w:basedOn w:val="Normal"/>
    <w:link w:val="FootnoteTextChar"/>
    <w:uiPriority w:val="99"/>
    <w:semiHidden/>
    <w:unhideWhenUsed/>
    <w:rsid w:val="00343B76"/>
    <w:pPr>
      <w:spacing w:before="0" w:after="0" w:line="240" w:lineRule="auto"/>
    </w:pPr>
  </w:style>
  <w:style w:type="character" w:customStyle="1" w:styleId="FootnoteTextChar">
    <w:name w:val="Footnote Text Char"/>
    <w:basedOn w:val="DefaultParagraphFont"/>
    <w:link w:val="FootnoteText"/>
    <w:uiPriority w:val="99"/>
    <w:semiHidden/>
    <w:rsid w:val="00343B76"/>
  </w:style>
  <w:style w:type="character" w:styleId="FootnoteReference">
    <w:name w:val="footnote reference"/>
    <w:basedOn w:val="DefaultParagraphFont"/>
    <w:uiPriority w:val="99"/>
    <w:semiHidden/>
    <w:unhideWhenUsed/>
    <w:rsid w:val="00343B76"/>
    <w:rPr>
      <w:vertAlign w:val="superscript"/>
    </w:rPr>
  </w:style>
  <w:style w:type="table" w:styleId="TableGridLight">
    <w:name w:val="Grid Table Light"/>
    <w:basedOn w:val="TableNormal"/>
    <w:uiPriority w:val="40"/>
    <w:rsid w:val="00CB47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CB47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3">
    <w:name w:val="Grid Table 6 Colorful Accent 3"/>
    <w:basedOn w:val="TableNormal"/>
    <w:uiPriority w:val="51"/>
    <w:rsid w:val="00CB472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DE156B"/>
    <w:rPr>
      <w:color w:val="605E5C"/>
      <w:shd w:val="clear" w:color="auto" w:fill="E1DFDD"/>
    </w:rPr>
  </w:style>
  <w:style w:type="character" w:styleId="FollowedHyperlink">
    <w:name w:val="FollowedHyperlink"/>
    <w:basedOn w:val="DefaultParagraphFont"/>
    <w:uiPriority w:val="99"/>
    <w:semiHidden/>
    <w:unhideWhenUsed/>
    <w:rsid w:val="006A5539"/>
    <w:rPr>
      <w:color w:val="954F72" w:themeColor="followedHyperlink"/>
      <w:u w:val="single"/>
    </w:rPr>
  </w:style>
  <w:style w:type="character" w:customStyle="1" w:styleId="title-text">
    <w:name w:val="title-text"/>
    <w:basedOn w:val="DefaultParagraphFont"/>
    <w:rsid w:val="00642153"/>
  </w:style>
  <w:style w:type="character" w:customStyle="1" w:styleId="UnresolvedMention3">
    <w:name w:val="Unresolved Mention3"/>
    <w:basedOn w:val="DefaultParagraphFont"/>
    <w:uiPriority w:val="99"/>
    <w:semiHidden/>
    <w:unhideWhenUsed/>
    <w:rsid w:val="00A82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276813">
      <w:bodyDiv w:val="1"/>
      <w:marLeft w:val="0"/>
      <w:marRight w:val="0"/>
      <w:marTop w:val="0"/>
      <w:marBottom w:val="0"/>
      <w:divBdr>
        <w:top w:val="none" w:sz="0" w:space="0" w:color="auto"/>
        <w:left w:val="none" w:sz="0" w:space="0" w:color="auto"/>
        <w:bottom w:val="none" w:sz="0" w:space="0" w:color="auto"/>
        <w:right w:val="none" w:sz="0" w:space="0" w:color="auto"/>
      </w:divBdr>
    </w:div>
    <w:div w:id="510950400">
      <w:bodyDiv w:val="1"/>
      <w:marLeft w:val="0"/>
      <w:marRight w:val="0"/>
      <w:marTop w:val="0"/>
      <w:marBottom w:val="0"/>
      <w:divBdr>
        <w:top w:val="none" w:sz="0" w:space="0" w:color="auto"/>
        <w:left w:val="none" w:sz="0" w:space="0" w:color="auto"/>
        <w:bottom w:val="none" w:sz="0" w:space="0" w:color="auto"/>
        <w:right w:val="none" w:sz="0" w:space="0" w:color="auto"/>
      </w:divBdr>
    </w:div>
    <w:div w:id="528374643">
      <w:bodyDiv w:val="1"/>
      <w:marLeft w:val="0"/>
      <w:marRight w:val="0"/>
      <w:marTop w:val="0"/>
      <w:marBottom w:val="0"/>
      <w:divBdr>
        <w:top w:val="none" w:sz="0" w:space="0" w:color="auto"/>
        <w:left w:val="none" w:sz="0" w:space="0" w:color="auto"/>
        <w:bottom w:val="none" w:sz="0" w:space="0" w:color="auto"/>
        <w:right w:val="none" w:sz="0" w:space="0" w:color="auto"/>
      </w:divBdr>
    </w:div>
    <w:div w:id="1183544889">
      <w:bodyDiv w:val="1"/>
      <w:marLeft w:val="0"/>
      <w:marRight w:val="0"/>
      <w:marTop w:val="0"/>
      <w:marBottom w:val="0"/>
      <w:divBdr>
        <w:top w:val="none" w:sz="0" w:space="0" w:color="auto"/>
        <w:left w:val="none" w:sz="0" w:space="0" w:color="auto"/>
        <w:bottom w:val="none" w:sz="0" w:space="0" w:color="auto"/>
        <w:right w:val="none" w:sz="0" w:space="0" w:color="auto"/>
      </w:divBdr>
      <w:divsChild>
        <w:div w:id="1904482471">
          <w:marLeft w:val="0"/>
          <w:marRight w:val="0"/>
          <w:marTop w:val="0"/>
          <w:marBottom w:val="0"/>
          <w:divBdr>
            <w:top w:val="none" w:sz="0" w:space="0" w:color="auto"/>
            <w:left w:val="none" w:sz="0" w:space="0" w:color="auto"/>
            <w:bottom w:val="none" w:sz="0" w:space="0" w:color="auto"/>
            <w:right w:val="none" w:sz="0" w:space="0" w:color="auto"/>
          </w:divBdr>
          <w:divsChild>
            <w:div w:id="1098718356">
              <w:marLeft w:val="0"/>
              <w:marRight w:val="0"/>
              <w:marTop w:val="0"/>
              <w:marBottom w:val="0"/>
              <w:divBdr>
                <w:top w:val="none" w:sz="0" w:space="0" w:color="auto"/>
                <w:left w:val="none" w:sz="0" w:space="0" w:color="auto"/>
                <w:bottom w:val="none" w:sz="0" w:space="0" w:color="auto"/>
                <w:right w:val="none" w:sz="0" w:space="0" w:color="auto"/>
              </w:divBdr>
              <w:divsChild>
                <w:div w:id="155407528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63318075">
      <w:bodyDiv w:val="1"/>
      <w:marLeft w:val="0"/>
      <w:marRight w:val="0"/>
      <w:marTop w:val="0"/>
      <w:marBottom w:val="0"/>
      <w:divBdr>
        <w:top w:val="none" w:sz="0" w:space="0" w:color="auto"/>
        <w:left w:val="none" w:sz="0" w:space="0" w:color="auto"/>
        <w:bottom w:val="none" w:sz="0" w:space="0" w:color="auto"/>
        <w:right w:val="none" w:sz="0" w:space="0" w:color="auto"/>
      </w:divBdr>
    </w:div>
    <w:div w:id="1758939311">
      <w:bodyDiv w:val="1"/>
      <w:marLeft w:val="0"/>
      <w:marRight w:val="0"/>
      <w:marTop w:val="0"/>
      <w:marBottom w:val="0"/>
      <w:divBdr>
        <w:top w:val="none" w:sz="0" w:space="0" w:color="auto"/>
        <w:left w:val="none" w:sz="0" w:space="0" w:color="auto"/>
        <w:bottom w:val="none" w:sz="0" w:space="0" w:color="auto"/>
        <w:right w:val="none" w:sz="0" w:space="0" w:color="auto"/>
      </w:divBdr>
    </w:div>
    <w:div w:id="1898399691">
      <w:bodyDiv w:val="1"/>
      <w:marLeft w:val="0"/>
      <w:marRight w:val="0"/>
      <w:marTop w:val="0"/>
      <w:marBottom w:val="0"/>
      <w:divBdr>
        <w:top w:val="none" w:sz="0" w:space="0" w:color="auto"/>
        <w:left w:val="none" w:sz="0" w:space="0" w:color="auto"/>
        <w:bottom w:val="none" w:sz="0" w:space="0" w:color="auto"/>
        <w:right w:val="none" w:sz="0" w:space="0" w:color="auto"/>
      </w:divBdr>
    </w:div>
    <w:div w:id="206236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diagramData" Target="diagrams/data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QuickStyle" Target="diagrams/quickStyle1.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ingwall@cste.org" TargetMode="External"/><Relationship Id="rId22" Type="http://schemas.openxmlformats.org/officeDocument/2006/relationships/diagramLayout" Target="diagrams/layout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microsoft.com/office/2007/relationships/diagramDrawing" Target="diagrams/drawing1.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footer" Target="footer3.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B20DA4-C5A1-42C2-AA16-F11EF527DDB4}" type="doc">
      <dgm:prSet loTypeId="urn:microsoft.com/office/officeart/2005/8/layout/hProcess9" loCatId="process" qsTypeId="urn:microsoft.com/office/officeart/2005/8/quickstyle/simple1" qsCatId="simple" csTypeId="urn:microsoft.com/office/officeart/2005/8/colors/colorful5" csCatId="colorful" phldr="1"/>
      <dgm:spPr/>
    </dgm:pt>
    <dgm:pt modelId="{1F46B1BD-D38A-48AC-804E-7E1C2F7AE764}">
      <dgm:prSet phldrT="[Text]"/>
      <dgm:spPr/>
      <dgm:t>
        <a:bodyPr/>
        <a:lstStyle/>
        <a:p>
          <a:r>
            <a:rPr lang="en-US" dirty="0">
              <a:solidFill>
                <a:sysClr val="windowText" lastClr="000000"/>
              </a:solidFill>
            </a:rPr>
            <a:t>Determined which measures and covariates were positively/negatively associated with opioid overdose rate.</a:t>
          </a:r>
          <a:endParaRPr lang="en-US">
            <a:solidFill>
              <a:sysClr val="windowText" lastClr="000000"/>
            </a:solidFill>
          </a:endParaRPr>
        </a:p>
      </dgm:t>
    </dgm:pt>
    <dgm:pt modelId="{342C7030-AED8-4EA4-AFF9-6E019A336FBE}" type="parTrans" cxnId="{F65186A1-137B-4E9E-A5A7-8DF2A51B246A}">
      <dgm:prSet/>
      <dgm:spPr/>
      <dgm:t>
        <a:bodyPr/>
        <a:lstStyle/>
        <a:p>
          <a:endParaRPr lang="en-US"/>
        </a:p>
      </dgm:t>
    </dgm:pt>
    <dgm:pt modelId="{3FCA85A6-74EA-458F-9F0B-AFECE5AD080C}" type="sibTrans" cxnId="{F65186A1-137B-4E9E-A5A7-8DF2A51B246A}">
      <dgm:prSet/>
      <dgm:spPr/>
      <dgm:t>
        <a:bodyPr/>
        <a:lstStyle/>
        <a:p>
          <a:endParaRPr lang="en-US"/>
        </a:p>
      </dgm:t>
    </dgm:pt>
    <dgm:pt modelId="{033745E5-2209-4F40-9159-621E4FBD40AB}">
      <dgm:prSet phldrT="[Text]"/>
      <dgm:spPr/>
      <dgm:t>
        <a:bodyPr/>
        <a:lstStyle/>
        <a:p>
          <a:r>
            <a:rPr lang="en-US" dirty="0">
              <a:solidFill>
                <a:sysClr val="windowText" lastClr="000000"/>
              </a:solidFill>
            </a:rPr>
            <a:t>Assigned quintile ranks to all core measures and covariates by county; 5=high, 1=low. Flipped the ranks for measures that have negative correlation.</a:t>
          </a:r>
          <a:endParaRPr lang="en-US">
            <a:solidFill>
              <a:sysClr val="windowText" lastClr="000000"/>
            </a:solidFill>
          </a:endParaRPr>
        </a:p>
      </dgm:t>
    </dgm:pt>
    <dgm:pt modelId="{9ADB9571-F631-41CF-97B6-3962BF397C47}" type="parTrans" cxnId="{DD5499A6-4A15-4B00-B68F-F1C6409C39E6}">
      <dgm:prSet/>
      <dgm:spPr/>
      <dgm:t>
        <a:bodyPr/>
        <a:lstStyle/>
        <a:p>
          <a:endParaRPr lang="en-US"/>
        </a:p>
      </dgm:t>
    </dgm:pt>
    <dgm:pt modelId="{98F3AE96-C22C-4F46-B895-8361C7C4D92A}" type="sibTrans" cxnId="{DD5499A6-4A15-4B00-B68F-F1C6409C39E6}">
      <dgm:prSet/>
      <dgm:spPr/>
      <dgm:t>
        <a:bodyPr/>
        <a:lstStyle/>
        <a:p>
          <a:endParaRPr lang="en-US"/>
        </a:p>
      </dgm:t>
    </dgm:pt>
    <dgm:pt modelId="{54DD9A3A-3FD4-44CD-A6E4-59996D7565E0}">
      <dgm:prSet phldrT="[Text]"/>
      <dgm:spPr/>
      <dgm:t>
        <a:bodyPr/>
        <a:lstStyle/>
        <a:p>
          <a:r>
            <a:rPr lang="en-US">
              <a:solidFill>
                <a:sysClr val="windowText" lastClr="000000"/>
              </a:solidFill>
            </a:rPr>
            <a:t>Multiplied core measure quintile ranks by 3 to create scores. E.g., highest = 15, lowest = 3. </a:t>
          </a:r>
        </a:p>
      </dgm:t>
    </dgm:pt>
    <dgm:pt modelId="{011642A4-4F87-49AC-8226-8F96A1AADCDF}" type="parTrans" cxnId="{C5AEDBBC-697C-4639-ABEB-583A25AE0DF6}">
      <dgm:prSet/>
      <dgm:spPr/>
      <dgm:t>
        <a:bodyPr/>
        <a:lstStyle/>
        <a:p>
          <a:endParaRPr lang="en-US"/>
        </a:p>
      </dgm:t>
    </dgm:pt>
    <dgm:pt modelId="{8903190A-9881-4199-8A93-8290438BA3A9}" type="sibTrans" cxnId="{C5AEDBBC-697C-4639-ABEB-583A25AE0DF6}">
      <dgm:prSet/>
      <dgm:spPr/>
      <dgm:t>
        <a:bodyPr/>
        <a:lstStyle/>
        <a:p>
          <a:endParaRPr lang="en-US"/>
        </a:p>
      </dgm:t>
    </dgm:pt>
    <dgm:pt modelId="{1290FD30-5DA2-4C68-8F98-26C703112776}">
      <dgm:prSet/>
      <dgm:spPr/>
      <dgm:t>
        <a:bodyPr/>
        <a:lstStyle/>
        <a:p>
          <a:r>
            <a:rPr lang="en-US">
              <a:solidFill>
                <a:sysClr val="windowText" lastClr="000000"/>
              </a:solidFill>
            </a:rPr>
            <a:t>Summed all weighted core measures and unweighted covariates.</a:t>
          </a:r>
        </a:p>
      </dgm:t>
    </dgm:pt>
    <dgm:pt modelId="{254B578B-3BDA-4346-89F0-C87FB986EE37}" type="parTrans" cxnId="{53A05A4E-5B22-4735-B014-5528FD9A177A}">
      <dgm:prSet/>
      <dgm:spPr/>
      <dgm:t>
        <a:bodyPr/>
        <a:lstStyle/>
        <a:p>
          <a:endParaRPr lang="en-US"/>
        </a:p>
      </dgm:t>
    </dgm:pt>
    <dgm:pt modelId="{C314654C-4453-4D10-8ECE-2631D12AC8C8}" type="sibTrans" cxnId="{53A05A4E-5B22-4735-B014-5528FD9A177A}">
      <dgm:prSet/>
      <dgm:spPr/>
      <dgm:t>
        <a:bodyPr/>
        <a:lstStyle/>
        <a:p>
          <a:endParaRPr lang="en-US"/>
        </a:p>
      </dgm:t>
    </dgm:pt>
    <dgm:pt modelId="{877E2B0A-567D-48EE-9A34-4FAE1F1B0A8D}">
      <dgm:prSet/>
      <dgm:spPr/>
      <dgm:t>
        <a:bodyPr/>
        <a:lstStyle/>
        <a:p>
          <a:r>
            <a:rPr lang="en-US" dirty="0">
              <a:solidFill>
                <a:sysClr val="windowText" lastClr="000000"/>
              </a:solidFill>
            </a:rPr>
            <a:t>Arranged counties by score from highest (high vulnerability) to lowest (</a:t>
          </a:r>
          <a:r>
            <a:rPr lang="en-US">
              <a:solidFill>
                <a:sysClr val="windowText" lastClr="000000"/>
              </a:solidFill>
            </a:rPr>
            <a:t>low vulnerability) and </a:t>
          </a:r>
          <a:r>
            <a:rPr lang="en-US" dirty="0">
              <a:solidFill>
                <a:sysClr val="windowText" lastClr="000000"/>
              </a:solidFill>
            </a:rPr>
            <a:t>assigned ranks. </a:t>
          </a:r>
          <a:endParaRPr lang="en-US">
            <a:solidFill>
              <a:sysClr val="windowText" lastClr="000000"/>
            </a:solidFill>
          </a:endParaRPr>
        </a:p>
      </dgm:t>
    </dgm:pt>
    <dgm:pt modelId="{6ED67F85-50AA-4661-ACF0-7E63609F3C93}" type="parTrans" cxnId="{05120688-A3B9-4C58-B7C1-9F970864A945}">
      <dgm:prSet/>
      <dgm:spPr/>
      <dgm:t>
        <a:bodyPr/>
        <a:lstStyle/>
        <a:p>
          <a:endParaRPr lang="en-US"/>
        </a:p>
      </dgm:t>
    </dgm:pt>
    <dgm:pt modelId="{E1B82F0A-1022-4BFF-9939-22955FDC1C5A}" type="sibTrans" cxnId="{05120688-A3B9-4C58-B7C1-9F970864A945}">
      <dgm:prSet/>
      <dgm:spPr/>
      <dgm:t>
        <a:bodyPr/>
        <a:lstStyle/>
        <a:p>
          <a:endParaRPr lang="en-US"/>
        </a:p>
      </dgm:t>
    </dgm:pt>
    <dgm:pt modelId="{9E920D97-871C-4F7F-B303-5550484CE54F}" type="pres">
      <dgm:prSet presAssocID="{1AB20DA4-C5A1-42C2-AA16-F11EF527DDB4}" presName="CompostProcess" presStyleCnt="0">
        <dgm:presLayoutVars>
          <dgm:dir/>
          <dgm:resizeHandles val="exact"/>
        </dgm:presLayoutVars>
      </dgm:prSet>
      <dgm:spPr/>
    </dgm:pt>
    <dgm:pt modelId="{D714EC12-831A-4E5A-8CB2-88A441304E3A}" type="pres">
      <dgm:prSet presAssocID="{1AB20DA4-C5A1-42C2-AA16-F11EF527DDB4}" presName="arrow" presStyleLbl="bgShp" presStyleIdx="0" presStyleCnt="1"/>
      <dgm:spPr/>
    </dgm:pt>
    <dgm:pt modelId="{E9481491-A02B-4376-885D-6DAAAA16FAE7}" type="pres">
      <dgm:prSet presAssocID="{1AB20DA4-C5A1-42C2-AA16-F11EF527DDB4}" presName="linearProcess" presStyleCnt="0"/>
      <dgm:spPr/>
    </dgm:pt>
    <dgm:pt modelId="{4D8734F9-68F9-4EFC-972E-BDA727C41DFF}" type="pres">
      <dgm:prSet presAssocID="{1F46B1BD-D38A-48AC-804E-7E1C2F7AE764}" presName="textNode" presStyleLbl="node1" presStyleIdx="0" presStyleCnt="5">
        <dgm:presLayoutVars>
          <dgm:bulletEnabled val="1"/>
        </dgm:presLayoutVars>
      </dgm:prSet>
      <dgm:spPr/>
      <dgm:t>
        <a:bodyPr/>
        <a:lstStyle/>
        <a:p>
          <a:endParaRPr lang="en-US"/>
        </a:p>
      </dgm:t>
    </dgm:pt>
    <dgm:pt modelId="{F442458C-4EAD-44F9-8628-EFF0FE65885A}" type="pres">
      <dgm:prSet presAssocID="{3FCA85A6-74EA-458F-9F0B-AFECE5AD080C}" presName="sibTrans" presStyleCnt="0"/>
      <dgm:spPr/>
    </dgm:pt>
    <dgm:pt modelId="{4A7ABA5D-5270-4727-BB98-816F5B4EABEC}" type="pres">
      <dgm:prSet presAssocID="{033745E5-2209-4F40-9159-621E4FBD40AB}" presName="textNode" presStyleLbl="node1" presStyleIdx="1" presStyleCnt="5">
        <dgm:presLayoutVars>
          <dgm:bulletEnabled val="1"/>
        </dgm:presLayoutVars>
      </dgm:prSet>
      <dgm:spPr/>
      <dgm:t>
        <a:bodyPr/>
        <a:lstStyle/>
        <a:p>
          <a:endParaRPr lang="en-US"/>
        </a:p>
      </dgm:t>
    </dgm:pt>
    <dgm:pt modelId="{0C1EBEF2-7C30-42E4-A053-FDFB82927236}" type="pres">
      <dgm:prSet presAssocID="{98F3AE96-C22C-4F46-B895-8361C7C4D92A}" presName="sibTrans" presStyleCnt="0"/>
      <dgm:spPr/>
    </dgm:pt>
    <dgm:pt modelId="{906C5EEF-FC3E-48A3-888D-C09B19317A60}" type="pres">
      <dgm:prSet presAssocID="{54DD9A3A-3FD4-44CD-A6E4-59996D7565E0}" presName="textNode" presStyleLbl="node1" presStyleIdx="2" presStyleCnt="5">
        <dgm:presLayoutVars>
          <dgm:bulletEnabled val="1"/>
        </dgm:presLayoutVars>
      </dgm:prSet>
      <dgm:spPr/>
      <dgm:t>
        <a:bodyPr/>
        <a:lstStyle/>
        <a:p>
          <a:endParaRPr lang="en-US"/>
        </a:p>
      </dgm:t>
    </dgm:pt>
    <dgm:pt modelId="{57184049-EBE9-4ABD-929C-EF54B7CD548D}" type="pres">
      <dgm:prSet presAssocID="{8903190A-9881-4199-8A93-8290438BA3A9}" presName="sibTrans" presStyleCnt="0"/>
      <dgm:spPr/>
    </dgm:pt>
    <dgm:pt modelId="{4932646C-1DEC-4358-9321-8D05113EDAB3}" type="pres">
      <dgm:prSet presAssocID="{1290FD30-5DA2-4C68-8F98-26C703112776}" presName="textNode" presStyleLbl="node1" presStyleIdx="3" presStyleCnt="5">
        <dgm:presLayoutVars>
          <dgm:bulletEnabled val="1"/>
        </dgm:presLayoutVars>
      </dgm:prSet>
      <dgm:spPr/>
      <dgm:t>
        <a:bodyPr/>
        <a:lstStyle/>
        <a:p>
          <a:endParaRPr lang="en-US"/>
        </a:p>
      </dgm:t>
    </dgm:pt>
    <dgm:pt modelId="{3DDE5321-3708-4986-BC6F-C0323459CB86}" type="pres">
      <dgm:prSet presAssocID="{C314654C-4453-4D10-8ECE-2631D12AC8C8}" presName="sibTrans" presStyleCnt="0"/>
      <dgm:spPr/>
    </dgm:pt>
    <dgm:pt modelId="{3F3F1137-38F4-41DB-A64F-C2ED4E2F9E81}" type="pres">
      <dgm:prSet presAssocID="{877E2B0A-567D-48EE-9A34-4FAE1F1B0A8D}" presName="textNode" presStyleLbl="node1" presStyleIdx="4" presStyleCnt="5">
        <dgm:presLayoutVars>
          <dgm:bulletEnabled val="1"/>
        </dgm:presLayoutVars>
      </dgm:prSet>
      <dgm:spPr/>
      <dgm:t>
        <a:bodyPr/>
        <a:lstStyle/>
        <a:p>
          <a:endParaRPr lang="en-US"/>
        </a:p>
      </dgm:t>
    </dgm:pt>
  </dgm:ptLst>
  <dgm:cxnLst>
    <dgm:cxn modelId="{3E48271E-2FFA-4916-8504-FCCA61FF3145}" type="presOf" srcId="{877E2B0A-567D-48EE-9A34-4FAE1F1B0A8D}" destId="{3F3F1137-38F4-41DB-A64F-C2ED4E2F9E81}" srcOrd="0" destOrd="0" presId="urn:microsoft.com/office/officeart/2005/8/layout/hProcess9"/>
    <dgm:cxn modelId="{53A05A4E-5B22-4735-B014-5528FD9A177A}" srcId="{1AB20DA4-C5A1-42C2-AA16-F11EF527DDB4}" destId="{1290FD30-5DA2-4C68-8F98-26C703112776}" srcOrd="3" destOrd="0" parTransId="{254B578B-3BDA-4346-89F0-C87FB986EE37}" sibTransId="{C314654C-4453-4D10-8ECE-2631D12AC8C8}"/>
    <dgm:cxn modelId="{B1986C02-0EEC-42C8-87EE-D8B641066596}" type="presOf" srcId="{54DD9A3A-3FD4-44CD-A6E4-59996D7565E0}" destId="{906C5EEF-FC3E-48A3-888D-C09B19317A60}" srcOrd="0" destOrd="0" presId="urn:microsoft.com/office/officeart/2005/8/layout/hProcess9"/>
    <dgm:cxn modelId="{F65186A1-137B-4E9E-A5A7-8DF2A51B246A}" srcId="{1AB20DA4-C5A1-42C2-AA16-F11EF527DDB4}" destId="{1F46B1BD-D38A-48AC-804E-7E1C2F7AE764}" srcOrd="0" destOrd="0" parTransId="{342C7030-AED8-4EA4-AFF9-6E019A336FBE}" sibTransId="{3FCA85A6-74EA-458F-9F0B-AFECE5AD080C}"/>
    <dgm:cxn modelId="{EBE3EED6-6A8A-4E65-A615-0FD67093CB70}" type="presOf" srcId="{1290FD30-5DA2-4C68-8F98-26C703112776}" destId="{4932646C-1DEC-4358-9321-8D05113EDAB3}" srcOrd="0" destOrd="0" presId="urn:microsoft.com/office/officeart/2005/8/layout/hProcess9"/>
    <dgm:cxn modelId="{DD5499A6-4A15-4B00-B68F-F1C6409C39E6}" srcId="{1AB20DA4-C5A1-42C2-AA16-F11EF527DDB4}" destId="{033745E5-2209-4F40-9159-621E4FBD40AB}" srcOrd="1" destOrd="0" parTransId="{9ADB9571-F631-41CF-97B6-3962BF397C47}" sibTransId="{98F3AE96-C22C-4F46-B895-8361C7C4D92A}"/>
    <dgm:cxn modelId="{4D1DE521-4FE0-4BE0-A185-2E4E9B870A3F}" type="presOf" srcId="{1AB20DA4-C5A1-42C2-AA16-F11EF527DDB4}" destId="{9E920D97-871C-4F7F-B303-5550484CE54F}" srcOrd="0" destOrd="0" presId="urn:microsoft.com/office/officeart/2005/8/layout/hProcess9"/>
    <dgm:cxn modelId="{90752534-F396-46BD-8A7C-E67202175F1A}" type="presOf" srcId="{033745E5-2209-4F40-9159-621E4FBD40AB}" destId="{4A7ABA5D-5270-4727-BB98-816F5B4EABEC}" srcOrd="0" destOrd="0" presId="urn:microsoft.com/office/officeart/2005/8/layout/hProcess9"/>
    <dgm:cxn modelId="{05120688-A3B9-4C58-B7C1-9F970864A945}" srcId="{1AB20DA4-C5A1-42C2-AA16-F11EF527DDB4}" destId="{877E2B0A-567D-48EE-9A34-4FAE1F1B0A8D}" srcOrd="4" destOrd="0" parTransId="{6ED67F85-50AA-4661-ACF0-7E63609F3C93}" sibTransId="{E1B82F0A-1022-4BFF-9939-22955FDC1C5A}"/>
    <dgm:cxn modelId="{C5AEDBBC-697C-4639-ABEB-583A25AE0DF6}" srcId="{1AB20DA4-C5A1-42C2-AA16-F11EF527DDB4}" destId="{54DD9A3A-3FD4-44CD-A6E4-59996D7565E0}" srcOrd="2" destOrd="0" parTransId="{011642A4-4F87-49AC-8226-8F96A1AADCDF}" sibTransId="{8903190A-9881-4199-8A93-8290438BA3A9}"/>
    <dgm:cxn modelId="{CCE46537-23E9-4545-A69D-F8673071B1E2}" type="presOf" srcId="{1F46B1BD-D38A-48AC-804E-7E1C2F7AE764}" destId="{4D8734F9-68F9-4EFC-972E-BDA727C41DFF}" srcOrd="0" destOrd="0" presId="urn:microsoft.com/office/officeart/2005/8/layout/hProcess9"/>
    <dgm:cxn modelId="{40938E76-E5B0-48B8-9B5A-9C0759BC4749}" type="presParOf" srcId="{9E920D97-871C-4F7F-B303-5550484CE54F}" destId="{D714EC12-831A-4E5A-8CB2-88A441304E3A}" srcOrd="0" destOrd="0" presId="urn:microsoft.com/office/officeart/2005/8/layout/hProcess9"/>
    <dgm:cxn modelId="{86FE7D0C-9A4F-4ECA-89AE-F73BB8CE94FC}" type="presParOf" srcId="{9E920D97-871C-4F7F-B303-5550484CE54F}" destId="{E9481491-A02B-4376-885D-6DAAAA16FAE7}" srcOrd="1" destOrd="0" presId="urn:microsoft.com/office/officeart/2005/8/layout/hProcess9"/>
    <dgm:cxn modelId="{BAF0506A-169C-4788-9CEB-CF1B88099D6D}" type="presParOf" srcId="{E9481491-A02B-4376-885D-6DAAAA16FAE7}" destId="{4D8734F9-68F9-4EFC-972E-BDA727C41DFF}" srcOrd="0" destOrd="0" presId="urn:microsoft.com/office/officeart/2005/8/layout/hProcess9"/>
    <dgm:cxn modelId="{2B86671E-11DF-4DE6-A158-EE01F74A4FE5}" type="presParOf" srcId="{E9481491-A02B-4376-885D-6DAAAA16FAE7}" destId="{F442458C-4EAD-44F9-8628-EFF0FE65885A}" srcOrd="1" destOrd="0" presId="urn:microsoft.com/office/officeart/2005/8/layout/hProcess9"/>
    <dgm:cxn modelId="{1882AFAF-86B1-439D-8B37-07D049AEAD6A}" type="presParOf" srcId="{E9481491-A02B-4376-885D-6DAAAA16FAE7}" destId="{4A7ABA5D-5270-4727-BB98-816F5B4EABEC}" srcOrd="2" destOrd="0" presId="urn:microsoft.com/office/officeart/2005/8/layout/hProcess9"/>
    <dgm:cxn modelId="{13A5A216-FE92-4937-9A99-4D7F9862A804}" type="presParOf" srcId="{E9481491-A02B-4376-885D-6DAAAA16FAE7}" destId="{0C1EBEF2-7C30-42E4-A053-FDFB82927236}" srcOrd="3" destOrd="0" presId="urn:microsoft.com/office/officeart/2005/8/layout/hProcess9"/>
    <dgm:cxn modelId="{E9BFE475-781B-423F-887B-8910915DC1A9}" type="presParOf" srcId="{E9481491-A02B-4376-885D-6DAAAA16FAE7}" destId="{906C5EEF-FC3E-48A3-888D-C09B19317A60}" srcOrd="4" destOrd="0" presId="urn:microsoft.com/office/officeart/2005/8/layout/hProcess9"/>
    <dgm:cxn modelId="{736C8880-64D7-4FF7-8258-0CE5EFB8E139}" type="presParOf" srcId="{E9481491-A02B-4376-885D-6DAAAA16FAE7}" destId="{57184049-EBE9-4ABD-929C-EF54B7CD548D}" srcOrd="5" destOrd="0" presId="urn:microsoft.com/office/officeart/2005/8/layout/hProcess9"/>
    <dgm:cxn modelId="{29CD3412-BF9B-4586-A27A-0C5B4139A1B2}" type="presParOf" srcId="{E9481491-A02B-4376-885D-6DAAAA16FAE7}" destId="{4932646C-1DEC-4358-9321-8D05113EDAB3}" srcOrd="6" destOrd="0" presId="urn:microsoft.com/office/officeart/2005/8/layout/hProcess9"/>
    <dgm:cxn modelId="{4DB68994-54A7-48C4-B043-EAEFD07C5966}" type="presParOf" srcId="{E9481491-A02B-4376-885D-6DAAAA16FAE7}" destId="{3DDE5321-3708-4986-BC6F-C0323459CB86}" srcOrd="7" destOrd="0" presId="urn:microsoft.com/office/officeart/2005/8/layout/hProcess9"/>
    <dgm:cxn modelId="{54B50ECA-5367-4935-BC71-95CFE2DAC76C}" type="presParOf" srcId="{E9481491-A02B-4376-885D-6DAAAA16FAE7}" destId="{3F3F1137-38F4-41DB-A64F-C2ED4E2F9E81}" srcOrd="8"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14EC12-831A-4E5A-8CB2-88A441304E3A}">
      <dsp:nvSpPr>
        <dsp:cNvPr id="0" name=""/>
        <dsp:cNvSpPr/>
      </dsp:nvSpPr>
      <dsp:spPr>
        <a:xfrm>
          <a:off x="475059" y="0"/>
          <a:ext cx="5384006" cy="287655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D8734F9-68F9-4EFC-972E-BDA727C41DFF}">
      <dsp:nvSpPr>
        <dsp:cNvPr id="0" name=""/>
        <dsp:cNvSpPr/>
      </dsp:nvSpPr>
      <dsp:spPr>
        <a:xfrm>
          <a:off x="2783" y="862965"/>
          <a:ext cx="1217030" cy="11506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solidFill>
            </a:rPr>
            <a:t>Determined which measures and covariates were positively/negatively associated with opioid overdose rate.</a:t>
          </a:r>
          <a:endParaRPr lang="en-US" sz="800" kern="1200">
            <a:solidFill>
              <a:sysClr val="windowText" lastClr="000000"/>
            </a:solidFill>
          </a:endParaRPr>
        </a:p>
      </dsp:txBody>
      <dsp:txXfrm>
        <a:off x="58952" y="919134"/>
        <a:ext cx="1104692" cy="1038282"/>
      </dsp:txXfrm>
    </dsp:sp>
    <dsp:sp modelId="{4A7ABA5D-5270-4727-BB98-816F5B4EABEC}">
      <dsp:nvSpPr>
        <dsp:cNvPr id="0" name=""/>
        <dsp:cNvSpPr/>
      </dsp:nvSpPr>
      <dsp:spPr>
        <a:xfrm>
          <a:off x="1280665" y="862965"/>
          <a:ext cx="1217030" cy="1150620"/>
        </a:xfrm>
        <a:prstGeom prst="round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solidFill>
            </a:rPr>
            <a:t>Assigned quintile ranks to all core measures and covariates by county; 5=high, 1=low. Flipped the ranks for measures that have negative correlation.</a:t>
          </a:r>
          <a:endParaRPr lang="en-US" sz="800" kern="1200">
            <a:solidFill>
              <a:sysClr val="windowText" lastClr="000000"/>
            </a:solidFill>
          </a:endParaRPr>
        </a:p>
      </dsp:txBody>
      <dsp:txXfrm>
        <a:off x="1336834" y="919134"/>
        <a:ext cx="1104692" cy="1038282"/>
      </dsp:txXfrm>
    </dsp:sp>
    <dsp:sp modelId="{906C5EEF-FC3E-48A3-888D-C09B19317A60}">
      <dsp:nvSpPr>
        <dsp:cNvPr id="0" name=""/>
        <dsp:cNvSpPr/>
      </dsp:nvSpPr>
      <dsp:spPr>
        <a:xfrm>
          <a:off x="2558547" y="862965"/>
          <a:ext cx="1217030" cy="1150620"/>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Multiplied core measure quintile ranks by 3 to create scores. E.g., highest = 15, lowest = 3. </a:t>
          </a:r>
        </a:p>
      </dsp:txBody>
      <dsp:txXfrm>
        <a:off x="2614716" y="919134"/>
        <a:ext cx="1104692" cy="1038282"/>
      </dsp:txXfrm>
    </dsp:sp>
    <dsp:sp modelId="{4932646C-1DEC-4358-9321-8D05113EDAB3}">
      <dsp:nvSpPr>
        <dsp:cNvPr id="0" name=""/>
        <dsp:cNvSpPr/>
      </dsp:nvSpPr>
      <dsp:spPr>
        <a:xfrm>
          <a:off x="3836429" y="862965"/>
          <a:ext cx="1217030" cy="1150620"/>
        </a:xfrm>
        <a:prstGeom prst="round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Summed all weighted core measures and unweighted covariates.</a:t>
          </a:r>
        </a:p>
      </dsp:txBody>
      <dsp:txXfrm>
        <a:off x="3892598" y="919134"/>
        <a:ext cx="1104692" cy="1038282"/>
      </dsp:txXfrm>
    </dsp:sp>
    <dsp:sp modelId="{3F3F1137-38F4-41DB-A64F-C2ED4E2F9E81}">
      <dsp:nvSpPr>
        <dsp:cNvPr id="0" name=""/>
        <dsp:cNvSpPr/>
      </dsp:nvSpPr>
      <dsp:spPr>
        <a:xfrm>
          <a:off x="5114311" y="862965"/>
          <a:ext cx="1217030" cy="1150620"/>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solidFill>
            </a:rPr>
            <a:t>Arranged counties by score from highest (high vulnerability) to lowest (</a:t>
          </a:r>
          <a:r>
            <a:rPr lang="en-US" sz="800" kern="1200">
              <a:solidFill>
                <a:sysClr val="windowText" lastClr="000000"/>
              </a:solidFill>
            </a:rPr>
            <a:t>low vulnerability) and </a:t>
          </a:r>
          <a:r>
            <a:rPr lang="en-US" sz="800" kern="1200" dirty="0">
              <a:solidFill>
                <a:sysClr val="windowText" lastClr="000000"/>
              </a:solidFill>
            </a:rPr>
            <a:t>assigned ranks. </a:t>
          </a:r>
          <a:endParaRPr lang="en-US" sz="800" kern="1200">
            <a:solidFill>
              <a:sysClr val="windowText" lastClr="000000"/>
            </a:solidFill>
          </a:endParaRPr>
        </a:p>
      </dsp:txBody>
      <dsp:txXfrm>
        <a:off x="5170480" y="919134"/>
        <a:ext cx="1104692" cy="103828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280B11AB954C44BB2ADB61C885D152" ma:contentTypeVersion="14" ma:contentTypeDescription="Create a new document." ma:contentTypeScope="" ma:versionID="17ddd7b36062b58b8eafde8ed8808054">
  <xsd:schema xmlns:xsd="http://www.w3.org/2001/XMLSchema" xmlns:xs="http://www.w3.org/2001/XMLSchema" xmlns:p="http://schemas.microsoft.com/office/2006/metadata/properties" xmlns:ns1="http://schemas.microsoft.com/sharepoint/v3" xmlns:ns3="86765d95-7958-4d60-b35d-769de0760221" xmlns:ns4="dde2d2aa-043b-4580-afc4-8c4886710735" targetNamespace="http://schemas.microsoft.com/office/2006/metadata/properties" ma:root="true" ma:fieldsID="8b2f4a916fd24ef4013eee73122d4c7b" ns1:_="" ns3:_="" ns4:_="">
    <xsd:import namespace="http://schemas.microsoft.com/sharepoint/v3"/>
    <xsd:import namespace="86765d95-7958-4d60-b35d-769de0760221"/>
    <xsd:import namespace="dde2d2aa-043b-4580-afc4-8c488671073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765d95-7958-4d60-b35d-769de07602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e2d2aa-043b-4580-afc4-8c48867107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24368-3134-4D43-A6E4-D85B0C288C40}">
  <ds:schemaRefs>
    <ds:schemaRef ds:uri="http://purl.org/dc/terms/"/>
    <ds:schemaRef ds:uri="http://purl.org/dc/elements/1.1/"/>
    <ds:schemaRef ds:uri="http://www.w3.org/XML/1998/namespace"/>
    <ds:schemaRef ds:uri="http://schemas.microsoft.com/office/2006/documentManagement/types"/>
    <ds:schemaRef ds:uri="http://schemas.microsoft.com/sharepoint/v3"/>
    <ds:schemaRef ds:uri="http://schemas.openxmlformats.org/package/2006/metadata/core-properties"/>
    <ds:schemaRef ds:uri="http://schemas.microsoft.com/office/infopath/2007/PartnerControls"/>
    <ds:schemaRef ds:uri="http://schemas.microsoft.com/office/2006/metadata/properties"/>
    <ds:schemaRef ds:uri="dde2d2aa-043b-4580-afc4-8c4886710735"/>
    <ds:schemaRef ds:uri="86765d95-7958-4d60-b35d-769de0760221"/>
    <ds:schemaRef ds:uri="http://purl.org/dc/dcmitype/"/>
  </ds:schemaRefs>
</ds:datastoreItem>
</file>

<file path=customXml/itemProps2.xml><?xml version="1.0" encoding="utf-8"?>
<ds:datastoreItem xmlns:ds="http://schemas.openxmlformats.org/officeDocument/2006/customXml" ds:itemID="{D6C4F1EC-9334-44F0-8598-1E1FA4622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6765d95-7958-4d60-b35d-769de0760221"/>
    <ds:schemaRef ds:uri="dde2d2aa-043b-4580-afc4-8c48867107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8533A1-4A40-4D4A-B4C8-DEDF4E286804}">
  <ds:schemaRefs>
    <ds:schemaRef ds:uri="http://schemas.microsoft.com/sharepoint/v3/contenttype/forms"/>
  </ds:schemaRefs>
</ds:datastoreItem>
</file>

<file path=customXml/itemProps4.xml><?xml version="1.0" encoding="utf-8"?>
<ds:datastoreItem xmlns:ds="http://schemas.openxmlformats.org/officeDocument/2006/customXml" ds:itemID="{03F28E03-0C0A-41F4-99DF-FF4A715A3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14777</Words>
  <Characters>84229</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Pustz, Jennifer Christine</dc:creator>
  <cp:keywords/>
  <dc:description/>
  <cp:lastModifiedBy>Anderson, Debi</cp:lastModifiedBy>
  <cp:revision>2</cp:revision>
  <dcterms:created xsi:type="dcterms:W3CDTF">2022-02-17T21:47:00Z</dcterms:created>
  <dcterms:modified xsi:type="dcterms:W3CDTF">2022-02-17T21:47:00Z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id="4EbQeS9a"/&gt;&lt;style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y fmtid="{D5CDD505-2E9C-101B-9397-08002B2CF9AE}" pid="4" name="MSIP_Label_7b94a7b8-f06c-4dfe-bdcc-9b548fd58c31_Enabled">
    <vt:lpwstr>true</vt:lpwstr>
  </property>
  <property fmtid="{D5CDD505-2E9C-101B-9397-08002B2CF9AE}" pid="5" name="MSIP_Label_7b94a7b8-f06c-4dfe-bdcc-9b548fd58c31_SetDate">
    <vt:lpwstr>2020-11-02T21:44:34Z</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iteId">
    <vt:lpwstr>9ce70869-60db-44fd-abe8-d2767077fc8f</vt:lpwstr>
  </property>
  <property fmtid="{D5CDD505-2E9C-101B-9397-08002B2CF9AE}" pid="9" name="MSIP_Label_7b94a7b8-f06c-4dfe-bdcc-9b548fd58c31_ActionId">
    <vt:lpwstr>06acc000-5023-4a20-9d34-c2b5ea049f90</vt:lpwstr>
  </property>
  <property fmtid="{D5CDD505-2E9C-101B-9397-08002B2CF9AE}" pid="10" name="MSIP_Label_7b94a7b8-f06c-4dfe-bdcc-9b548fd58c31_ContentBits">
    <vt:lpwstr>0</vt:lpwstr>
  </property>
  <property fmtid="{D5CDD505-2E9C-101B-9397-08002B2CF9AE}" pid="11" name="ContentTypeId">
    <vt:lpwstr>0x010100B0280B11AB954C44BB2ADB61C885D152</vt:lpwstr>
  </property>
</Properties>
</file>